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0F" w:rsidRPr="00241D4D" w:rsidRDefault="00C50A78" w:rsidP="00241D4D">
      <w:pPr>
        <w:spacing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829310" cy="584835"/>
            <wp:effectExtent l="0" t="0" r="8890" b="571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584835"/>
                    </a:xfrm>
                    <a:prstGeom prst="rect">
                      <a:avLst/>
                    </a:prstGeom>
                    <a:noFill/>
                    <a:ln>
                      <a:noFill/>
                    </a:ln>
                  </pic:spPr>
                </pic:pic>
              </a:graphicData>
            </a:graphic>
          </wp:inline>
        </w:drawing>
      </w:r>
      <w:r w:rsidR="0011480F">
        <w:rPr>
          <w:rFonts w:ascii="Times New Roman" w:hAnsi="Times New Roman"/>
          <w:sz w:val="24"/>
          <w:szCs w:val="24"/>
        </w:rPr>
        <w:t xml:space="preserve">            </w:t>
      </w:r>
      <w:r>
        <w:rPr>
          <w:rFonts w:ascii="Times New Roman" w:hAnsi="Times New Roman"/>
          <w:noProof/>
          <w:sz w:val="24"/>
          <w:szCs w:val="24"/>
        </w:rPr>
        <w:drawing>
          <wp:inline distT="0" distB="0" distL="0" distR="0">
            <wp:extent cx="499745" cy="499745"/>
            <wp:effectExtent l="0" t="0" r="0" b="0"/>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r w:rsidR="0011480F">
        <w:rPr>
          <w:rFonts w:ascii="Times New Roman" w:hAnsi="Times New Roman"/>
          <w:sz w:val="24"/>
          <w:szCs w:val="24"/>
        </w:rPr>
        <w:t xml:space="preserve">         </w:t>
      </w:r>
      <w:r>
        <w:rPr>
          <w:rFonts w:ascii="Times New Roman" w:hAnsi="Times New Roman"/>
          <w:noProof/>
          <w:sz w:val="24"/>
          <w:szCs w:val="24"/>
        </w:rPr>
        <w:drawing>
          <wp:inline distT="0" distB="0" distL="0" distR="0">
            <wp:extent cx="967740" cy="49974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7740" cy="499745"/>
                    </a:xfrm>
                    <a:prstGeom prst="rect">
                      <a:avLst/>
                    </a:prstGeom>
                    <a:noFill/>
                    <a:ln>
                      <a:noFill/>
                    </a:ln>
                  </pic:spPr>
                </pic:pic>
              </a:graphicData>
            </a:graphic>
          </wp:inline>
        </w:drawing>
      </w:r>
      <w:r w:rsidR="0011480F">
        <w:rPr>
          <w:rFonts w:ascii="Times New Roman" w:hAnsi="Times New Roman"/>
          <w:sz w:val="24"/>
          <w:szCs w:val="24"/>
        </w:rPr>
        <w:t xml:space="preserve">     </w:t>
      </w:r>
      <w:r>
        <w:rPr>
          <w:rFonts w:ascii="Times New Roman" w:hAnsi="Times New Roman"/>
          <w:noProof/>
          <w:sz w:val="24"/>
          <w:szCs w:val="24"/>
        </w:rPr>
        <w:drawing>
          <wp:inline distT="0" distB="0" distL="0" distR="0">
            <wp:extent cx="1392555" cy="563245"/>
            <wp:effectExtent l="0" t="0" r="0" b="8255"/>
            <wp:docPr id="4" name="Obraz 1" descr="KSOW_tekst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SOW_tekst_transpar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2555" cy="563245"/>
                    </a:xfrm>
                    <a:prstGeom prst="rect">
                      <a:avLst/>
                    </a:prstGeom>
                    <a:noFill/>
                    <a:ln>
                      <a:noFill/>
                    </a:ln>
                  </pic:spPr>
                </pic:pic>
              </a:graphicData>
            </a:graphic>
          </wp:inline>
        </w:drawing>
      </w:r>
      <w:r w:rsidR="0011480F">
        <w:rPr>
          <w:rFonts w:ascii="Times New Roman" w:hAnsi="Times New Roman"/>
          <w:sz w:val="24"/>
          <w:szCs w:val="24"/>
        </w:rPr>
        <w:t xml:space="preserve">    </w:t>
      </w:r>
      <w:r>
        <w:rPr>
          <w:rFonts w:ascii="Times New Roman" w:hAnsi="Times New Roman"/>
          <w:b/>
          <w:noProof/>
          <w:sz w:val="24"/>
          <w:szCs w:val="24"/>
        </w:rPr>
        <w:drawing>
          <wp:inline distT="0" distB="0" distL="0" distR="0">
            <wp:extent cx="988695" cy="659130"/>
            <wp:effectExtent l="0" t="0" r="1905" b="762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8695" cy="659130"/>
                    </a:xfrm>
                    <a:prstGeom prst="rect">
                      <a:avLst/>
                    </a:prstGeom>
                    <a:noFill/>
                    <a:ln>
                      <a:noFill/>
                    </a:ln>
                  </pic:spPr>
                </pic:pic>
              </a:graphicData>
            </a:graphic>
          </wp:inline>
        </w:drawing>
      </w:r>
      <w:r w:rsidR="0011480F">
        <w:rPr>
          <w:rFonts w:ascii="Times New Roman" w:hAnsi="Times New Roman"/>
          <w:sz w:val="24"/>
          <w:szCs w:val="24"/>
        </w:rPr>
        <w:t xml:space="preserve"> </w:t>
      </w:r>
    </w:p>
    <w:p w:rsidR="0011480F" w:rsidRPr="003F7B97" w:rsidRDefault="0011480F" w:rsidP="003F7B97">
      <w:pPr>
        <w:spacing w:line="360" w:lineRule="auto"/>
        <w:jc w:val="center"/>
        <w:rPr>
          <w:rFonts w:ascii="Times New Roman" w:hAnsi="Times New Roman"/>
          <w:szCs w:val="24"/>
        </w:rPr>
      </w:pPr>
      <w:r w:rsidRPr="003F7B97">
        <w:rPr>
          <w:rFonts w:ascii="Times New Roman" w:hAnsi="Times New Roman"/>
          <w:szCs w:val="24"/>
        </w:rPr>
        <w:t>„Europejski Fundusz Rolny na rzecz Rozwoju Obszarów Wiejskich: Europa inwestująca w obszary wiejskie”.</w:t>
      </w:r>
    </w:p>
    <w:p w:rsidR="0011480F" w:rsidRPr="00241D4D" w:rsidRDefault="0011480F" w:rsidP="00241D4D">
      <w:pPr>
        <w:spacing w:line="360" w:lineRule="auto"/>
        <w:jc w:val="both"/>
        <w:rPr>
          <w:rFonts w:ascii="Times New Roman" w:hAnsi="Times New Roman"/>
          <w:i/>
          <w:sz w:val="24"/>
          <w:szCs w:val="24"/>
        </w:rPr>
      </w:pPr>
    </w:p>
    <w:p w:rsidR="0011480F" w:rsidRPr="00241D4D" w:rsidRDefault="0011480F" w:rsidP="00241D4D">
      <w:pPr>
        <w:spacing w:line="360" w:lineRule="auto"/>
        <w:jc w:val="both"/>
        <w:rPr>
          <w:rFonts w:ascii="Times New Roman" w:hAnsi="Times New Roman"/>
          <w:sz w:val="24"/>
          <w:szCs w:val="24"/>
        </w:rPr>
      </w:pPr>
    </w:p>
    <w:p w:rsidR="0011480F" w:rsidRPr="00241D4D" w:rsidRDefault="0011480F" w:rsidP="00241D4D">
      <w:pPr>
        <w:spacing w:line="360" w:lineRule="auto"/>
        <w:jc w:val="both"/>
        <w:rPr>
          <w:rFonts w:ascii="Times New Roman" w:hAnsi="Times New Roman"/>
          <w:sz w:val="24"/>
          <w:szCs w:val="24"/>
        </w:rPr>
      </w:pPr>
    </w:p>
    <w:p w:rsidR="0011480F" w:rsidRPr="00241D4D" w:rsidRDefault="0011480F" w:rsidP="00241D4D">
      <w:pPr>
        <w:spacing w:line="360" w:lineRule="auto"/>
        <w:jc w:val="both"/>
        <w:rPr>
          <w:rFonts w:ascii="Times New Roman" w:hAnsi="Times New Roman"/>
          <w:sz w:val="24"/>
          <w:szCs w:val="24"/>
        </w:rPr>
      </w:pPr>
    </w:p>
    <w:p w:rsidR="0011480F" w:rsidRPr="008657D2" w:rsidRDefault="0011480F" w:rsidP="00241D4D">
      <w:pPr>
        <w:spacing w:line="360" w:lineRule="auto"/>
        <w:jc w:val="both"/>
        <w:rPr>
          <w:rFonts w:ascii="Times New Roman" w:hAnsi="Times New Roman"/>
          <w:b/>
          <w:sz w:val="24"/>
          <w:szCs w:val="24"/>
        </w:rPr>
      </w:pPr>
    </w:p>
    <w:p w:rsidR="0011480F" w:rsidRPr="008657D2" w:rsidRDefault="00AE73BE" w:rsidP="00241D4D">
      <w:pPr>
        <w:spacing w:line="360" w:lineRule="auto"/>
        <w:jc w:val="center"/>
        <w:rPr>
          <w:rFonts w:ascii="Times New Roman" w:hAnsi="Times New Roman"/>
          <w:b/>
          <w:sz w:val="32"/>
          <w:szCs w:val="32"/>
        </w:rPr>
      </w:pPr>
      <w:r w:rsidRPr="008657D2">
        <w:rPr>
          <w:rFonts w:ascii="Times New Roman" w:hAnsi="Times New Roman"/>
          <w:b/>
          <w:sz w:val="32"/>
          <w:szCs w:val="32"/>
        </w:rPr>
        <w:t>SPRAWOZDANIE ROCZNE</w:t>
      </w:r>
    </w:p>
    <w:p w:rsidR="0011480F" w:rsidRPr="008657D2" w:rsidRDefault="00AE73BE" w:rsidP="00241D4D">
      <w:pPr>
        <w:spacing w:line="360" w:lineRule="auto"/>
        <w:jc w:val="center"/>
        <w:rPr>
          <w:rFonts w:ascii="Times New Roman" w:hAnsi="Times New Roman"/>
          <w:b/>
          <w:sz w:val="32"/>
          <w:szCs w:val="32"/>
        </w:rPr>
      </w:pPr>
      <w:r w:rsidRPr="008657D2">
        <w:rPr>
          <w:rFonts w:ascii="Times New Roman" w:hAnsi="Times New Roman"/>
          <w:b/>
          <w:sz w:val="32"/>
          <w:szCs w:val="32"/>
        </w:rPr>
        <w:t>Z REALIZACJI PLANU DZIAŁANIA</w:t>
      </w:r>
    </w:p>
    <w:p w:rsidR="0011480F" w:rsidRPr="008657D2" w:rsidRDefault="00AE73BE" w:rsidP="00241D4D">
      <w:pPr>
        <w:spacing w:line="360" w:lineRule="auto"/>
        <w:jc w:val="center"/>
        <w:rPr>
          <w:rFonts w:ascii="Times New Roman" w:hAnsi="Times New Roman"/>
          <w:b/>
          <w:sz w:val="32"/>
          <w:szCs w:val="32"/>
        </w:rPr>
      </w:pPr>
      <w:r w:rsidRPr="008657D2">
        <w:rPr>
          <w:rFonts w:ascii="Times New Roman" w:hAnsi="Times New Roman"/>
          <w:b/>
          <w:sz w:val="32"/>
          <w:szCs w:val="32"/>
        </w:rPr>
        <w:t xml:space="preserve">KRAJOWEJ SIECI OBSZARÓW WIEJSKICH </w:t>
      </w:r>
      <w:r w:rsidR="001E2C8C" w:rsidRPr="008657D2">
        <w:rPr>
          <w:rFonts w:ascii="Times New Roman" w:hAnsi="Times New Roman"/>
          <w:b/>
          <w:sz w:val="32"/>
          <w:szCs w:val="32"/>
        </w:rPr>
        <w:t xml:space="preserve">na lata </w:t>
      </w:r>
      <w:r w:rsidRPr="008657D2">
        <w:rPr>
          <w:rFonts w:ascii="Times New Roman" w:hAnsi="Times New Roman"/>
          <w:b/>
          <w:sz w:val="32"/>
          <w:szCs w:val="32"/>
        </w:rPr>
        <w:t>2014-2020</w:t>
      </w:r>
    </w:p>
    <w:p w:rsidR="0011480F" w:rsidRPr="008657D2" w:rsidRDefault="00AE73BE" w:rsidP="00241D4D">
      <w:pPr>
        <w:spacing w:line="360" w:lineRule="auto"/>
        <w:jc w:val="center"/>
        <w:rPr>
          <w:rFonts w:ascii="Times New Roman" w:hAnsi="Times New Roman"/>
          <w:b/>
          <w:sz w:val="32"/>
          <w:szCs w:val="32"/>
        </w:rPr>
      </w:pPr>
      <w:r w:rsidRPr="008657D2">
        <w:rPr>
          <w:rFonts w:ascii="Times New Roman" w:hAnsi="Times New Roman"/>
          <w:b/>
          <w:sz w:val="32"/>
          <w:szCs w:val="32"/>
        </w:rPr>
        <w:t>ZA ROK 20</w:t>
      </w:r>
      <w:r w:rsidR="00051080">
        <w:rPr>
          <w:rFonts w:ascii="Times New Roman" w:hAnsi="Times New Roman"/>
          <w:b/>
          <w:sz w:val="32"/>
          <w:szCs w:val="32"/>
        </w:rPr>
        <w:t>16</w:t>
      </w:r>
    </w:p>
    <w:p w:rsidR="0011480F" w:rsidRPr="00241D4D" w:rsidRDefault="0011480F" w:rsidP="00241D4D">
      <w:pPr>
        <w:spacing w:line="360" w:lineRule="auto"/>
        <w:jc w:val="center"/>
        <w:rPr>
          <w:rFonts w:ascii="Times New Roman" w:hAnsi="Times New Roman"/>
          <w:sz w:val="32"/>
          <w:szCs w:val="32"/>
        </w:rPr>
      </w:pPr>
    </w:p>
    <w:p w:rsidR="0011480F" w:rsidRPr="00241D4D" w:rsidRDefault="003F0BF1" w:rsidP="003F0BF1">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4ED288F4" wp14:editId="7DDCCE94">
            <wp:extent cx="1934845" cy="765810"/>
            <wp:effectExtent l="0" t="0" r="8255" b="0"/>
            <wp:docPr id="6" name="Obraz 2" descr="KSOW_tekst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KSOW_tekst_transpar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4845" cy="765810"/>
                    </a:xfrm>
                    <a:prstGeom prst="rect">
                      <a:avLst/>
                    </a:prstGeom>
                    <a:noFill/>
                    <a:ln>
                      <a:noFill/>
                    </a:ln>
                  </pic:spPr>
                </pic:pic>
              </a:graphicData>
            </a:graphic>
          </wp:inline>
        </w:drawing>
      </w:r>
    </w:p>
    <w:p w:rsidR="0011480F" w:rsidRPr="00241D4D" w:rsidRDefault="0011480F" w:rsidP="00241D4D">
      <w:pPr>
        <w:spacing w:line="360" w:lineRule="auto"/>
        <w:jc w:val="both"/>
        <w:rPr>
          <w:rFonts w:ascii="Times New Roman" w:hAnsi="Times New Roman"/>
          <w:sz w:val="24"/>
          <w:szCs w:val="24"/>
        </w:rPr>
      </w:pPr>
    </w:p>
    <w:p w:rsidR="0011480F" w:rsidRPr="00241D4D" w:rsidRDefault="0011480F" w:rsidP="00241D4D">
      <w:pPr>
        <w:spacing w:line="360" w:lineRule="auto"/>
        <w:jc w:val="both"/>
        <w:rPr>
          <w:rFonts w:ascii="Times New Roman" w:hAnsi="Times New Roman"/>
          <w:sz w:val="24"/>
          <w:szCs w:val="24"/>
        </w:rPr>
      </w:pPr>
    </w:p>
    <w:p w:rsidR="0011480F" w:rsidRPr="00241D4D" w:rsidRDefault="0011480F" w:rsidP="00241D4D">
      <w:pPr>
        <w:spacing w:line="360" w:lineRule="auto"/>
        <w:jc w:val="both"/>
        <w:rPr>
          <w:rFonts w:ascii="Times New Roman" w:hAnsi="Times New Roman"/>
          <w:sz w:val="24"/>
          <w:szCs w:val="24"/>
        </w:rPr>
      </w:pPr>
    </w:p>
    <w:p w:rsidR="0011480F" w:rsidRPr="00241D4D" w:rsidRDefault="0011480F" w:rsidP="00241D4D">
      <w:pPr>
        <w:spacing w:line="360" w:lineRule="auto"/>
        <w:jc w:val="both"/>
        <w:rPr>
          <w:rFonts w:ascii="Times New Roman" w:hAnsi="Times New Roman"/>
          <w:sz w:val="24"/>
          <w:szCs w:val="24"/>
        </w:rPr>
      </w:pPr>
    </w:p>
    <w:p w:rsidR="0011480F" w:rsidRPr="00241D4D" w:rsidRDefault="0011480F" w:rsidP="00241D4D">
      <w:pPr>
        <w:spacing w:line="360" w:lineRule="auto"/>
        <w:jc w:val="both"/>
        <w:rPr>
          <w:rFonts w:ascii="Times New Roman" w:hAnsi="Times New Roman"/>
          <w:sz w:val="24"/>
          <w:szCs w:val="24"/>
        </w:rPr>
      </w:pPr>
    </w:p>
    <w:p w:rsidR="0011480F" w:rsidRPr="00241D4D" w:rsidRDefault="0011480F" w:rsidP="00241D4D">
      <w:pPr>
        <w:spacing w:line="360" w:lineRule="auto"/>
        <w:jc w:val="center"/>
        <w:rPr>
          <w:rFonts w:ascii="Times New Roman" w:hAnsi="Times New Roman"/>
          <w:sz w:val="24"/>
          <w:szCs w:val="24"/>
        </w:rPr>
      </w:pPr>
      <w:r w:rsidRPr="00241D4D">
        <w:rPr>
          <w:rFonts w:ascii="Times New Roman" w:hAnsi="Times New Roman"/>
          <w:sz w:val="24"/>
          <w:szCs w:val="24"/>
        </w:rPr>
        <w:t xml:space="preserve">Warszawa, </w:t>
      </w:r>
      <w:r w:rsidR="00EA1F53">
        <w:rPr>
          <w:rFonts w:ascii="Times New Roman" w:hAnsi="Times New Roman"/>
          <w:sz w:val="24"/>
          <w:szCs w:val="24"/>
        </w:rPr>
        <w:t>15</w:t>
      </w:r>
      <w:r w:rsidR="00D534C3">
        <w:rPr>
          <w:rFonts w:ascii="Times New Roman" w:hAnsi="Times New Roman"/>
          <w:sz w:val="24"/>
          <w:szCs w:val="24"/>
        </w:rPr>
        <w:t xml:space="preserve"> </w:t>
      </w:r>
      <w:r w:rsidR="00EA1F53">
        <w:rPr>
          <w:rFonts w:ascii="Times New Roman" w:hAnsi="Times New Roman"/>
          <w:sz w:val="24"/>
          <w:szCs w:val="24"/>
        </w:rPr>
        <w:t>maj</w:t>
      </w:r>
      <w:r w:rsidR="00FD4B16">
        <w:rPr>
          <w:rFonts w:ascii="Times New Roman" w:hAnsi="Times New Roman"/>
          <w:sz w:val="24"/>
          <w:szCs w:val="24"/>
        </w:rPr>
        <w:t xml:space="preserve"> 2017</w:t>
      </w:r>
      <w:r w:rsidRPr="00241D4D">
        <w:rPr>
          <w:rFonts w:ascii="Times New Roman" w:hAnsi="Times New Roman"/>
          <w:sz w:val="24"/>
          <w:szCs w:val="24"/>
        </w:rPr>
        <w:t xml:space="preserve"> r.</w:t>
      </w:r>
    </w:p>
    <w:p w:rsidR="0011480F" w:rsidRPr="00241D4D" w:rsidRDefault="0011480F" w:rsidP="00241D4D">
      <w:pPr>
        <w:spacing w:line="360" w:lineRule="auto"/>
        <w:jc w:val="both"/>
        <w:rPr>
          <w:rFonts w:ascii="Times New Roman" w:hAnsi="Times New Roman"/>
          <w:sz w:val="24"/>
          <w:szCs w:val="24"/>
        </w:rPr>
      </w:pPr>
    </w:p>
    <w:p w:rsidR="0011480F" w:rsidRPr="00241D4D" w:rsidRDefault="0011480F" w:rsidP="00051080">
      <w:pPr>
        <w:pStyle w:val="Akapitzlist"/>
        <w:numPr>
          <w:ilvl w:val="0"/>
          <w:numId w:val="29"/>
        </w:numPr>
        <w:tabs>
          <w:tab w:val="clear" w:pos="720"/>
          <w:tab w:val="num" w:pos="426"/>
        </w:tabs>
        <w:spacing w:line="360" w:lineRule="auto"/>
        <w:ind w:left="426"/>
        <w:jc w:val="both"/>
        <w:rPr>
          <w:rFonts w:ascii="Times New Roman" w:hAnsi="Times New Roman"/>
          <w:b/>
          <w:sz w:val="24"/>
          <w:szCs w:val="24"/>
        </w:rPr>
      </w:pPr>
      <w:r w:rsidRPr="00241D4D">
        <w:rPr>
          <w:rFonts w:ascii="Times New Roman" w:hAnsi="Times New Roman"/>
          <w:sz w:val="24"/>
          <w:szCs w:val="24"/>
        </w:rPr>
        <w:br w:type="page"/>
      </w:r>
      <w:r w:rsidR="00AE73BE" w:rsidRPr="00241D4D">
        <w:rPr>
          <w:rFonts w:ascii="Times New Roman" w:hAnsi="Times New Roman"/>
          <w:b/>
          <w:sz w:val="24"/>
          <w:szCs w:val="24"/>
        </w:rPr>
        <w:lastRenderedPageBreak/>
        <w:t xml:space="preserve">PRZEBIEG REALIZACJI DZIAŁAŃ </w:t>
      </w:r>
      <w:r w:rsidRPr="00241D4D">
        <w:rPr>
          <w:rFonts w:ascii="Times New Roman" w:hAnsi="Times New Roman"/>
          <w:b/>
          <w:sz w:val="24"/>
          <w:szCs w:val="24"/>
        </w:rPr>
        <w:t xml:space="preserve">KSOW </w:t>
      </w:r>
    </w:p>
    <w:p w:rsidR="0011480F" w:rsidRDefault="00EA1F53" w:rsidP="00EA1F53">
      <w:pPr>
        <w:pStyle w:val="Akapitzlist"/>
        <w:ind w:left="425"/>
        <w:contextualSpacing w:val="0"/>
        <w:jc w:val="both"/>
        <w:rPr>
          <w:rFonts w:asciiTheme="minorHAnsi" w:hAnsiTheme="minorHAnsi"/>
          <w:sz w:val="24"/>
          <w:szCs w:val="24"/>
        </w:rPr>
      </w:pPr>
      <w:r>
        <w:rPr>
          <w:rFonts w:asciiTheme="minorHAnsi" w:hAnsiTheme="minorHAnsi"/>
          <w:sz w:val="24"/>
          <w:szCs w:val="24"/>
        </w:rPr>
        <w:t>Szczegółowe dane dotyczące wydatków poniesionych w ramach Planu działania 2014-2020 do 31 grudnia 2016r.</w:t>
      </w:r>
      <w:r w:rsidR="004F1298">
        <w:rPr>
          <w:rFonts w:asciiTheme="minorHAnsi" w:hAnsiTheme="minorHAnsi"/>
          <w:sz w:val="24"/>
          <w:szCs w:val="24"/>
        </w:rPr>
        <w:t xml:space="preserve"> przez Jednostki Regionalne, Centrum Doradztwa Rolniczego, Wojewódzkie Ośrodki Doradztwa Rolniczego, Agencję Restrukturyzacji i Modernizacji Rolnictwa, Agencję Rynku Rolnego</w:t>
      </w:r>
      <w:r>
        <w:rPr>
          <w:rFonts w:asciiTheme="minorHAnsi" w:hAnsiTheme="minorHAnsi"/>
          <w:sz w:val="24"/>
          <w:szCs w:val="24"/>
        </w:rPr>
        <w:t xml:space="preserve"> oraz I</w:t>
      </w:r>
      <w:r w:rsidR="004F1298">
        <w:rPr>
          <w:rFonts w:asciiTheme="minorHAnsi" w:hAnsiTheme="minorHAnsi"/>
          <w:sz w:val="24"/>
          <w:szCs w:val="24"/>
        </w:rPr>
        <w:t xml:space="preserve">nstytucję </w:t>
      </w:r>
      <w:r>
        <w:rPr>
          <w:rFonts w:asciiTheme="minorHAnsi" w:hAnsiTheme="minorHAnsi"/>
          <w:sz w:val="24"/>
          <w:szCs w:val="24"/>
        </w:rPr>
        <w:t>Z</w:t>
      </w:r>
      <w:r w:rsidR="004F1298">
        <w:rPr>
          <w:rFonts w:asciiTheme="minorHAnsi" w:hAnsiTheme="minorHAnsi"/>
          <w:sz w:val="24"/>
          <w:szCs w:val="24"/>
        </w:rPr>
        <w:t>arządzającą</w:t>
      </w:r>
      <w:r>
        <w:rPr>
          <w:rFonts w:asciiTheme="minorHAnsi" w:hAnsiTheme="minorHAnsi"/>
          <w:sz w:val="24"/>
          <w:szCs w:val="24"/>
        </w:rPr>
        <w:t xml:space="preserve"> wraz z J</w:t>
      </w:r>
      <w:r w:rsidR="004F1298">
        <w:rPr>
          <w:rFonts w:asciiTheme="minorHAnsi" w:hAnsiTheme="minorHAnsi"/>
          <w:sz w:val="24"/>
          <w:szCs w:val="24"/>
        </w:rPr>
        <w:t xml:space="preserve">ednostką </w:t>
      </w:r>
      <w:r>
        <w:rPr>
          <w:rFonts w:asciiTheme="minorHAnsi" w:hAnsiTheme="minorHAnsi"/>
          <w:sz w:val="24"/>
          <w:szCs w:val="24"/>
        </w:rPr>
        <w:t>C</w:t>
      </w:r>
      <w:r w:rsidR="004F1298">
        <w:rPr>
          <w:rFonts w:asciiTheme="minorHAnsi" w:hAnsiTheme="minorHAnsi"/>
          <w:sz w:val="24"/>
          <w:szCs w:val="24"/>
        </w:rPr>
        <w:t>entralną</w:t>
      </w:r>
      <w:r>
        <w:rPr>
          <w:rFonts w:asciiTheme="minorHAnsi" w:hAnsiTheme="minorHAnsi"/>
          <w:sz w:val="24"/>
          <w:szCs w:val="24"/>
        </w:rPr>
        <w:t xml:space="preserve"> przedstawiono </w:t>
      </w:r>
      <w:r w:rsidR="004F1298">
        <w:rPr>
          <w:rFonts w:asciiTheme="minorHAnsi" w:hAnsiTheme="minorHAnsi"/>
          <w:sz w:val="24"/>
          <w:szCs w:val="24"/>
        </w:rPr>
        <w:br/>
      </w:r>
      <w:r w:rsidRPr="00EE0011">
        <w:rPr>
          <w:rFonts w:asciiTheme="minorHAnsi" w:hAnsiTheme="minorHAnsi"/>
          <w:sz w:val="24"/>
          <w:szCs w:val="24"/>
        </w:rPr>
        <w:t>w z</w:t>
      </w:r>
      <w:r w:rsidR="00FD4B16" w:rsidRPr="00EE0011">
        <w:rPr>
          <w:rFonts w:asciiTheme="minorHAnsi" w:hAnsiTheme="minorHAnsi"/>
          <w:sz w:val="24"/>
          <w:szCs w:val="24"/>
        </w:rPr>
        <w:t>ałącznik</w:t>
      </w:r>
      <w:r w:rsidRPr="00EE0011">
        <w:rPr>
          <w:rFonts w:asciiTheme="minorHAnsi" w:hAnsiTheme="minorHAnsi"/>
          <w:sz w:val="24"/>
          <w:szCs w:val="24"/>
        </w:rPr>
        <w:t>u</w:t>
      </w:r>
      <w:r w:rsidR="00FD4B16" w:rsidRPr="00EE0011">
        <w:rPr>
          <w:rFonts w:asciiTheme="minorHAnsi" w:hAnsiTheme="minorHAnsi"/>
          <w:sz w:val="24"/>
          <w:szCs w:val="24"/>
        </w:rPr>
        <w:t xml:space="preserve"> 1 do </w:t>
      </w:r>
      <w:r w:rsidRPr="00EE0011">
        <w:rPr>
          <w:rFonts w:asciiTheme="minorHAnsi" w:hAnsiTheme="minorHAnsi"/>
          <w:sz w:val="24"/>
          <w:szCs w:val="24"/>
        </w:rPr>
        <w:t>niniejszego sprawozdania – plik</w:t>
      </w:r>
      <w:r w:rsidR="000E1E35" w:rsidRPr="00EE0011">
        <w:rPr>
          <w:rFonts w:asciiTheme="minorHAnsi" w:hAnsiTheme="minorHAnsi"/>
          <w:sz w:val="24"/>
          <w:szCs w:val="24"/>
        </w:rPr>
        <w:t xml:space="preserve"> </w:t>
      </w:r>
      <w:r w:rsidR="000E1E35" w:rsidRPr="00EE0011">
        <w:rPr>
          <w:rFonts w:asciiTheme="minorHAnsi" w:hAnsiTheme="minorHAnsi"/>
          <w:i/>
          <w:sz w:val="24"/>
          <w:szCs w:val="24"/>
        </w:rPr>
        <w:t>„</w:t>
      </w:r>
      <w:r w:rsidR="00EE0011" w:rsidRPr="00EE0011">
        <w:rPr>
          <w:rFonts w:asciiTheme="minorHAnsi" w:hAnsiTheme="minorHAnsi"/>
          <w:i/>
          <w:sz w:val="24"/>
          <w:szCs w:val="24"/>
        </w:rPr>
        <w:t xml:space="preserve">Załącznik </w:t>
      </w:r>
      <w:r w:rsidR="004F1298">
        <w:rPr>
          <w:rFonts w:asciiTheme="minorHAnsi" w:hAnsiTheme="minorHAnsi"/>
          <w:i/>
          <w:sz w:val="24"/>
          <w:szCs w:val="24"/>
        </w:rPr>
        <w:t>1</w:t>
      </w:r>
      <w:r w:rsidR="00EE0011" w:rsidRPr="00EE0011">
        <w:rPr>
          <w:rFonts w:asciiTheme="minorHAnsi" w:hAnsiTheme="minorHAnsi"/>
          <w:i/>
          <w:sz w:val="24"/>
          <w:szCs w:val="24"/>
        </w:rPr>
        <w:t xml:space="preserve"> do Sprawozdania rocznego </w:t>
      </w:r>
      <w:r w:rsidR="00EE0011">
        <w:rPr>
          <w:rFonts w:asciiTheme="minorHAnsi" w:hAnsiTheme="minorHAnsi"/>
          <w:i/>
          <w:sz w:val="24"/>
          <w:szCs w:val="24"/>
        </w:rPr>
        <w:br/>
      </w:r>
      <w:r w:rsidR="00EE0011" w:rsidRPr="00EE0011">
        <w:rPr>
          <w:rFonts w:asciiTheme="minorHAnsi" w:hAnsiTheme="minorHAnsi"/>
          <w:i/>
          <w:sz w:val="24"/>
          <w:szCs w:val="24"/>
        </w:rPr>
        <w:t>z realizacji Planu działania za rok 2016.xlsx</w:t>
      </w:r>
      <w:r w:rsidR="000E1E35" w:rsidRPr="00EE0011">
        <w:rPr>
          <w:rFonts w:asciiTheme="minorHAnsi" w:hAnsiTheme="minorHAnsi"/>
          <w:i/>
          <w:sz w:val="24"/>
          <w:szCs w:val="24"/>
        </w:rPr>
        <w:t>”</w:t>
      </w:r>
      <w:r w:rsidRPr="00EE0011">
        <w:rPr>
          <w:rFonts w:asciiTheme="minorHAnsi" w:hAnsiTheme="minorHAnsi"/>
          <w:sz w:val="24"/>
          <w:szCs w:val="24"/>
        </w:rPr>
        <w:t>.</w:t>
      </w:r>
    </w:p>
    <w:p w:rsidR="00EA1F53" w:rsidRPr="000E1E35" w:rsidRDefault="00EA1F53" w:rsidP="000E1E35">
      <w:pPr>
        <w:spacing w:after="120" w:line="240" w:lineRule="auto"/>
        <w:ind w:left="425"/>
        <w:jc w:val="both"/>
        <w:rPr>
          <w:rFonts w:asciiTheme="minorHAnsi" w:hAnsiTheme="minorHAnsi"/>
          <w:b/>
          <w:sz w:val="24"/>
          <w:szCs w:val="24"/>
        </w:rPr>
      </w:pPr>
      <w:r w:rsidRPr="000E1E35">
        <w:rPr>
          <w:rFonts w:asciiTheme="minorHAnsi" w:hAnsiTheme="minorHAnsi"/>
          <w:b/>
          <w:sz w:val="24"/>
          <w:szCs w:val="24"/>
        </w:rPr>
        <w:t xml:space="preserve">Analiza efektów realizacji działań objętych Planem działania </w:t>
      </w:r>
      <w:r w:rsidR="000E1E35" w:rsidRPr="000E1E35">
        <w:rPr>
          <w:rFonts w:asciiTheme="minorHAnsi" w:hAnsiTheme="minorHAnsi"/>
          <w:b/>
          <w:sz w:val="24"/>
          <w:szCs w:val="24"/>
        </w:rPr>
        <w:t>KSOW 2014-2020 w ujęciu finansowym.</w:t>
      </w:r>
    </w:p>
    <w:p w:rsidR="00EA1F53" w:rsidRPr="001707E0" w:rsidRDefault="004F1298" w:rsidP="000E1E35">
      <w:pPr>
        <w:pStyle w:val="Akapitzlist"/>
        <w:ind w:left="425"/>
        <w:contextualSpacing w:val="0"/>
        <w:jc w:val="both"/>
        <w:rPr>
          <w:rFonts w:asciiTheme="minorHAnsi" w:hAnsiTheme="minorHAnsi"/>
          <w:sz w:val="24"/>
          <w:szCs w:val="24"/>
        </w:rPr>
      </w:pPr>
      <w:r>
        <w:rPr>
          <w:rFonts w:asciiTheme="minorHAnsi" w:hAnsiTheme="minorHAnsi"/>
          <w:sz w:val="24"/>
          <w:szCs w:val="24"/>
        </w:rPr>
        <w:t>Limit środków</w:t>
      </w:r>
      <w:r w:rsidR="000E1E35" w:rsidRPr="000E1E35">
        <w:rPr>
          <w:rFonts w:asciiTheme="minorHAnsi" w:hAnsiTheme="minorHAnsi"/>
          <w:sz w:val="24"/>
          <w:szCs w:val="24"/>
        </w:rPr>
        <w:t xml:space="preserve"> wynikający z rozporządzenia Ministra Rolnictwa i Rozwoju Wsi (Dz. U. poz. 335 </w:t>
      </w:r>
      <w:r>
        <w:rPr>
          <w:rFonts w:asciiTheme="minorHAnsi" w:hAnsiTheme="minorHAnsi"/>
          <w:sz w:val="24"/>
          <w:szCs w:val="24"/>
        </w:rPr>
        <w:br/>
      </w:r>
      <w:r w:rsidR="000E1E35" w:rsidRPr="000E1E35">
        <w:rPr>
          <w:rFonts w:asciiTheme="minorHAnsi" w:hAnsiTheme="minorHAnsi"/>
          <w:sz w:val="24"/>
          <w:szCs w:val="24"/>
        </w:rPr>
        <w:t>z dnia 25 lutego 2016r.)</w:t>
      </w:r>
      <w:r w:rsidR="00AB22FF">
        <w:rPr>
          <w:rStyle w:val="Odwoanieprzypisudolnego"/>
          <w:rFonts w:asciiTheme="minorHAnsi" w:hAnsiTheme="minorHAnsi"/>
          <w:sz w:val="24"/>
          <w:szCs w:val="24"/>
        </w:rPr>
        <w:footnoteReference w:id="1"/>
      </w:r>
      <w:r w:rsidR="000E1E35" w:rsidRPr="000E1E35">
        <w:rPr>
          <w:rFonts w:asciiTheme="minorHAnsi" w:hAnsiTheme="minorHAnsi"/>
          <w:sz w:val="24"/>
          <w:szCs w:val="24"/>
        </w:rPr>
        <w:t xml:space="preserve"> dostępnych w ramach schematu II Wsparcie funkcjonowania krajowe</w:t>
      </w:r>
      <w:r w:rsidR="000E1E35">
        <w:rPr>
          <w:rFonts w:asciiTheme="minorHAnsi" w:hAnsiTheme="minorHAnsi"/>
          <w:sz w:val="24"/>
          <w:szCs w:val="24"/>
        </w:rPr>
        <w:t xml:space="preserve">j sieci obszarów wiejskich oraz </w:t>
      </w:r>
      <w:r w:rsidR="000E1E35" w:rsidRPr="000E1E35">
        <w:rPr>
          <w:rFonts w:asciiTheme="minorHAnsi" w:hAnsiTheme="minorHAnsi"/>
          <w:sz w:val="24"/>
          <w:szCs w:val="24"/>
        </w:rPr>
        <w:t xml:space="preserve">realizacja działań informacyjno-promocyjnych PROW 2014–2020, wynosi </w:t>
      </w:r>
      <w:r w:rsidR="000E1E35">
        <w:rPr>
          <w:rFonts w:asciiTheme="minorHAnsi" w:hAnsiTheme="minorHAnsi"/>
          <w:sz w:val="24"/>
          <w:szCs w:val="24"/>
        </w:rPr>
        <w:t>60</w:t>
      </w:r>
      <w:r w:rsidR="00410922">
        <w:rPr>
          <w:rFonts w:asciiTheme="minorHAnsi" w:hAnsiTheme="minorHAnsi"/>
          <w:sz w:val="24"/>
          <w:szCs w:val="24"/>
        </w:rPr>
        <w:t> </w:t>
      </w:r>
      <w:r w:rsidR="000E1E35">
        <w:rPr>
          <w:rFonts w:asciiTheme="minorHAnsi" w:hAnsiTheme="minorHAnsi"/>
          <w:sz w:val="24"/>
          <w:szCs w:val="24"/>
        </w:rPr>
        <w:t>000</w:t>
      </w:r>
      <w:r w:rsidR="00410922">
        <w:rPr>
          <w:rFonts w:asciiTheme="minorHAnsi" w:hAnsiTheme="minorHAnsi"/>
          <w:sz w:val="24"/>
          <w:szCs w:val="24"/>
        </w:rPr>
        <w:t> </w:t>
      </w:r>
      <w:r w:rsidR="000E1E35">
        <w:rPr>
          <w:rFonts w:asciiTheme="minorHAnsi" w:hAnsiTheme="minorHAnsi"/>
          <w:sz w:val="24"/>
          <w:szCs w:val="24"/>
        </w:rPr>
        <w:t>000</w:t>
      </w:r>
      <w:r w:rsidR="000E1E35" w:rsidRPr="000E1E35">
        <w:rPr>
          <w:rFonts w:asciiTheme="minorHAnsi" w:hAnsiTheme="minorHAnsi"/>
          <w:sz w:val="24"/>
          <w:szCs w:val="24"/>
        </w:rPr>
        <w:t xml:space="preserve"> euro,</w:t>
      </w:r>
      <w:r w:rsidR="004705A2">
        <w:rPr>
          <w:rFonts w:asciiTheme="minorHAnsi" w:hAnsiTheme="minorHAnsi"/>
          <w:sz w:val="24"/>
          <w:szCs w:val="24"/>
        </w:rPr>
        <w:t xml:space="preserve"> a</w:t>
      </w:r>
      <w:r w:rsidR="000E1E35">
        <w:rPr>
          <w:rFonts w:asciiTheme="minorHAnsi" w:hAnsiTheme="minorHAnsi"/>
          <w:sz w:val="24"/>
          <w:szCs w:val="24"/>
        </w:rPr>
        <w:t xml:space="preserve"> </w:t>
      </w:r>
      <w:r w:rsidR="004705A2">
        <w:rPr>
          <w:rFonts w:asciiTheme="minorHAnsi" w:hAnsiTheme="minorHAnsi"/>
          <w:sz w:val="24"/>
          <w:szCs w:val="24"/>
        </w:rPr>
        <w:t>w przeliczeniu</w:t>
      </w:r>
      <w:r w:rsidR="004705A2">
        <w:rPr>
          <w:rStyle w:val="Odwoanieprzypisudolnego"/>
          <w:rFonts w:asciiTheme="minorHAnsi" w:hAnsiTheme="minorHAnsi"/>
          <w:sz w:val="24"/>
          <w:szCs w:val="24"/>
        </w:rPr>
        <w:footnoteReference w:id="2"/>
      </w:r>
      <w:r w:rsidR="004705A2">
        <w:rPr>
          <w:rFonts w:asciiTheme="minorHAnsi" w:hAnsiTheme="minorHAnsi"/>
          <w:sz w:val="24"/>
          <w:szCs w:val="24"/>
        </w:rPr>
        <w:t xml:space="preserve"> na złote </w:t>
      </w:r>
      <w:r w:rsidR="000E1E35" w:rsidRPr="000E1E35">
        <w:rPr>
          <w:rFonts w:asciiTheme="minorHAnsi" w:hAnsiTheme="minorHAnsi"/>
          <w:sz w:val="24"/>
          <w:szCs w:val="24"/>
        </w:rPr>
        <w:t>253</w:t>
      </w:r>
      <w:r w:rsidR="00410922">
        <w:rPr>
          <w:rFonts w:asciiTheme="minorHAnsi" w:hAnsiTheme="minorHAnsi"/>
          <w:sz w:val="24"/>
          <w:szCs w:val="24"/>
        </w:rPr>
        <w:t> </w:t>
      </w:r>
      <w:r w:rsidR="000E1E35" w:rsidRPr="000E1E35">
        <w:rPr>
          <w:rFonts w:asciiTheme="minorHAnsi" w:hAnsiTheme="minorHAnsi"/>
          <w:sz w:val="24"/>
          <w:szCs w:val="24"/>
        </w:rPr>
        <w:t>344</w:t>
      </w:r>
      <w:r w:rsidR="00410922">
        <w:rPr>
          <w:rFonts w:asciiTheme="minorHAnsi" w:hAnsiTheme="minorHAnsi"/>
          <w:sz w:val="24"/>
          <w:szCs w:val="24"/>
        </w:rPr>
        <w:t> </w:t>
      </w:r>
      <w:r w:rsidR="000E1E35" w:rsidRPr="000E1E35">
        <w:rPr>
          <w:rFonts w:asciiTheme="minorHAnsi" w:hAnsiTheme="minorHAnsi"/>
          <w:sz w:val="24"/>
          <w:szCs w:val="24"/>
        </w:rPr>
        <w:t>000</w:t>
      </w:r>
      <w:r w:rsidR="00410922">
        <w:rPr>
          <w:rFonts w:asciiTheme="minorHAnsi" w:hAnsiTheme="minorHAnsi"/>
          <w:sz w:val="24"/>
          <w:szCs w:val="24"/>
        </w:rPr>
        <w:t xml:space="preserve"> zł.</w:t>
      </w:r>
    </w:p>
    <w:p w:rsidR="00FD4B16" w:rsidRDefault="00495690" w:rsidP="000E1E35">
      <w:pPr>
        <w:pStyle w:val="Akapitzlist"/>
        <w:ind w:left="425"/>
        <w:contextualSpacing w:val="0"/>
        <w:jc w:val="both"/>
        <w:rPr>
          <w:rFonts w:asciiTheme="minorHAnsi" w:hAnsiTheme="minorHAnsi"/>
          <w:sz w:val="24"/>
          <w:szCs w:val="24"/>
        </w:rPr>
      </w:pPr>
      <w:r>
        <w:rPr>
          <w:noProof/>
        </w:rPr>
        <w:drawing>
          <wp:inline distT="0" distB="0" distL="0" distR="0" wp14:anchorId="0404D37B" wp14:editId="3716518D">
            <wp:extent cx="5781676" cy="4962524"/>
            <wp:effectExtent l="0" t="0" r="9525" b="1016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74DA" w:rsidRDefault="005F74DA" w:rsidP="000E1E35">
      <w:pPr>
        <w:pStyle w:val="Akapitzlist"/>
        <w:ind w:left="425"/>
        <w:contextualSpacing w:val="0"/>
        <w:jc w:val="both"/>
        <w:rPr>
          <w:rFonts w:asciiTheme="minorHAnsi" w:hAnsiTheme="minorHAnsi"/>
          <w:sz w:val="24"/>
          <w:szCs w:val="24"/>
        </w:rPr>
      </w:pPr>
      <w:r>
        <w:rPr>
          <w:noProof/>
        </w:rPr>
        <w:lastRenderedPageBreak/>
        <w:drawing>
          <wp:inline distT="0" distB="0" distL="0" distR="0" wp14:anchorId="634AEF8E" wp14:editId="25213830">
            <wp:extent cx="5781676" cy="5372100"/>
            <wp:effectExtent l="0" t="0" r="9525" b="1905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30BE" w:rsidRDefault="00364814" w:rsidP="000E1E35">
      <w:pPr>
        <w:pStyle w:val="Akapitzlist"/>
        <w:ind w:left="425"/>
        <w:contextualSpacing w:val="0"/>
        <w:jc w:val="both"/>
        <w:rPr>
          <w:rFonts w:asciiTheme="minorHAnsi" w:hAnsiTheme="minorHAnsi"/>
          <w:sz w:val="24"/>
          <w:szCs w:val="24"/>
        </w:rPr>
      </w:pPr>
      <w:r>
        <w:rPr>
          <w:rFonts w:asciiTheme="minorHAnsi" w:hAnsiTheme="minorHAnsi"/>
          <w:sz w:val="24"/>
          <w:szCs w:val="24"/>
        </w:rPr>
        <w:t>W sumie wszystkie jednostki zaangażowane we wdrażanie KSOW wydatkowały</w:t>
      </w:r>
      <w:r w:rsidR="002468F6">
        <w:rPr>
          <w:rFonts w:asciiTheme="minorHAnsi" w:hAnsiTheme="minorHAnsi"/>
          <w:sz w:val="24"/>
          <w:szCs w:val="24"/>
        </w:rPr>
        <w:t xml:space="preserve"> do końca </w:t>
      </w:r>
      <w:r w:rsidR="00D85901">
        <w:rPr>
          <w:rFonts w:asciiTheme="minorHAnsi" w:hAnsiTheme="minorHAnsi"/>
          <w:sz w:val="24"/>
          <w:szCs w:val="24"/>
        </w:rPr>
        <w:br/>
      </w:r>
      <w:r w:rsidR="002468F6">
        <w:rPr>
          <w:rFonts w:asciiTheme="minorHAnsi" w:hAnsiTheme="minorHAnsi"/>
          <w:sz w:val="24"/>
          <w:szCs w:val="24"/>
        </w:rPr>
        <w:t xml:space="preserve">2016 r. kwotę </w:t>
      </w:r>
      <w:r w:rsidR="004F1298">
        <w:rPr>
          <w:rFonts w:asciiTheme="minorHAnsi" w:hAnsiTheme="minorHAnsi"/>
          <w:sz w:val="24"/>
          <w:szCs w:val="24"/>
        </w:rPr>
        <w:t>4</w:t>
      </w:r>
      <w:r w:rsidR="00547CE1">
        <w:rPr>
          <w:rFonts w:asciiTheme="minorHAnsi" w:hAnsiTheme="minorHAnsi"/>
          <w:sz w:val="24"/>
          <w:szCs w:val="24"/>
        </w:rPr>
        <w:t>8,5</w:t>
      </w:r>
      <w:r w:rsidR="004F1298">
        <w:rPr>
          <w:rFonts w:asciiTheme="minorHAnsi" w:hAnsiTheme="minorHAnsi"/>
          <w:sz w:val="24"/>
          <w:szCs w:val="24"/>
        </w:rPr>
        <w:t xml:space="preserve"> mln z</w:t>
      </w:r>
      <w:r w:rsidR="00434441">
        <w:rPr>
          <w:rFonts w:asciiTheme="minorHAnsi" w:hAnsiTheme="minorHAnsi"/>
          <w:sz w:val="24"/>
          <w:szCs w:val="24"/>
        </w:rPr>
        <w:t xml:space="preserve">ł co stanowi </w:t>
      </w:r>
      <w:r w:rsidR="00547CE1">
        <w:rPr>
          <w:rFonts w:asciiTheme="minorHAnsi" w:hAnsiTheme="minorHAnsi"/>
          <w:sz w:val="24"/>
          <w:szCs w:val="24"/>
        </w:rPr>
        <w:t>19,14</w:t>
      </w:r>
      <w:r w:rsidR="00434441">
        <w:rPr>
          <w:rFonts w:asciiTheme="minorHAnsi" w:hAnsiTheme="minorHAnsi"/>
          <w:sz w:val="24"/>
          <w:szCs w:val="24"/>
        </w:rPr>
        <w:t>% całkowitego limitu środków na Schemat II PT PROW 2014-2020. Najwyższe wykorzystanie przyznanych limitów, przekraczające 25%</w:t>
      </w:r>
      <w:r w:rsidR="004F1298">
        <w:rPr>
          <w:rFonts w:asciiTheme="minorHAnsi" w:hAnsiTheme="minorHAnsi"/>
          <w:sz w:val="24"/>
          <w:szCs w:val="24"/>
        </w:rPr>
        <w:t>,</w:t>
      </w:r>
      <w:r w:rsidR="00434441">
        <w:rPr>
          <w:rFonts w:asciiTheme="minorHAnsi" w:hAnsiTheme="minorHAnsi"/>
          <w:sz w:val="24"/>
          <w:szCs w:val="24"/>
        </w:rPr>
        <w:t xml:space="preserve"> obserwujemy w przypadku Wojewódzkich Ośrodków Doradztwa Rolniczego województw: kujawsko-pomorskiego, podkarpackiego, śląskiego, świętokrzyskiego, warmińsko-mazurskiego oraz jednostki regionalnej województwa kujawsko-pomorskiego. </w:t>
      </w:r>
      <w:r w:rsidR="002830BE">
        <w:rPr>
          <w:rFonts w:asciiTheme="minorHAnsi" w:hAnsiTheme="minorHAnsi"/>
          <w:sz w:val="24"/>
          <w:szCs w:val="24"/>
        </w:rPr>
        <w:t>Najniższy procent wykorzystania limitu występuje w przypadku Agencji Rynku Rolnego, niewiele ponad 5%.</w:t>
      </w:r>
    </w:p>
    <w:p w:rsidR="00364814" w:rsidRDefault="00AB22FF" w:rsidP="000E1E35">
      <w:pPr>
        <w:pStyle w:val="Akapitzlist"/>
        <w:ind w:left="425"/>
        <w:contextualSpacing w:val="0"/>
        <w:jc w:val="both"/>
        <w:rPr>
          <w:rFonts w:asciiTheme="minorHAnsi" w:hAnsiTheme="minorHAnsi"/>
          <w:sz w:val="24"/>
          <w:szCs w:val="24"/>
        </w:rPr>
      </w:pPr>
      <w:r>
        <w:rPr>
          <w:rFonts w:asciiTheme="minorHAnsi" w:hAnsiTheme="minorHAnsi"/>
          <w:sz w:val="24"/>
          <w:szCs w:val="24"/>
        </w:rPr>
        <w:t>Poniżej na wykresach przedstawiono  wykorzystanie limitu środków w podziale na koszty funkcjonowania</w:t>
      </w:r>
      <w:r>
        <w:rPr>
          <w:rStyle w:val="Odwoanieprzypisudolnego"/>
          <w:rFonts w:asciiTheme="minorHAnsi" w:hAnsiTheme="minorHAnsi"/>
          <w:sz w:val="24"/>
          <w:szCs w:val="24"/>
        </w:rPr>
        <w:footnoteReference w:id="3"/>
      </w:r>
      <w:r>
        <w:rPr>
          <w:rFonts w:asciiTheme="minorHAnsi" w:hAnsiTheme="minorHAnsi"/>
          <w:sz w:val="24"/>
          <w:szCs w:val="24"/>
        </w:rPr>
        <w:t>, przy założeniu maksymalnego - 25% udziału tych kosztów w przyznanych limitach oraz Planu działania 2014-2020.</w:t>
      </w:r>
    </w:p>
    <w:p w:rsidR="00364814" w:rsidRDefault="00364814" w:rsidP="000E1E35">
      <w:pPr>
        <w:pStyle w:val="Akapitzlist"/>
        <w:ind w:left="425"/>
        <w:contextualSpacing w:val="0"/>
        <w:jc w:val="both"/>
        <w:rPr>
          <w:rFonts w:asciiTheme="minorHAnsi" w:hAnsiTheme="minorHAnsi"/>
          <w:sz w:val="24"/>
          <w:szCs w:val="24"/>
        </w:rPr>
      </w:pPr>
    </w:p>
    <w:p w:rsidR="00AB22FF" w:rsidRDefault="00495690" w:rsidP="000E1E35">
      <w:pPr>
        <w:pStyle w:val="Akapitzlist"/>
        <w:ind w:left="425"/>
        <w:contextualSpacing w:val="0"/>
        <w:jc w:val="both"/>
        <w:rPr>
          <w:rFonts w:asciiTheme="minorHAnsi" w:hAnsiTheme="minorHAnsi"/>
          <w:sz w:val="24"/>
          <w:szCs w:val="24"/>
        </w:rPr>
      </w:pPr>
      <w:r>
        <w:rPr>
          <w:noProof/>
        </w:rPr>
        <w:lastRenderedPageBreak/>
        <w:drawing>
          <wp:inline distT="0" distB="0" distL="0" distR="0" wp14:anchorId="72427C7A" wp14:editId="6888FA76">
            <wp:extent cx="5781676" cy="7658100"/>
            <wp:effectExtent l="0" t="0" r="9525" b="1905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22FF" w:rsidRDefault="00AB22FF" w:rsidP="000E1E35">
      <w:pPr>
        <w:pStyle w:val="Akapitzlist"/>
        <w:ind w:left="425"/>
        <w:contextualSpacing w:val="0"/>
        <w:jc w:val="both"/>
        <w:rPr>
          <w:rFonts w:asciiTheme="minorHAnsi" w:hAnsiTheme="minorHAnsi"/>
          <w:sz w:val="24"/>
          <w:szCs w:val="24"/>
        </w:rPr>
      </w:pPr>
      <w:r>
        <w:rPr>
          <w:noProof/>
        </w:rPr>
        <w:lastRenderedPageBreak/>
        <w:drawing>
          <wp:inline distT="0" distB="0" distL="0" distR="0" wp14:anchorId="3F58C087" wp14:editId="5FA2C168">
            <wp:extent cx="5781676" cy="7658100"/>
            <wp:effectExtent l="0" t="0" r="9525" b="1905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22FF" w:rsidRDefault="00F92B89" w:rsidP="000E1E35">
      <w:pPr>
        <w:pStyle w:val="Akapitzlist"/>
        <w:ind w:left="425"/>
        <w:contextualSpacing w:val="0"/>
        <w:jc w:val="both"/>
        <w:rPr>
          <w:rFonts w:asciiTheme="minorHAnsi" w:hAnsiTheme="minorHAnsi"/>
          <w:sz w:val="24"/>
          <w:szCs w:val="24"/>
        </w:rPr>
      </w:pPr>
      <w:r>
        <w:rPr>
          <w:rFonts w:asciiTheme="minorHAnsi" w:hAnsiTheme="minorHAnsi"/>
          <w:sz w:val="24"/>
          <w:szCs w:val="24"/>
        </w:rPr>
        <w:t>W</w:t>
      </w:r>
      <w:r w:rsidR="00B211E4">
        <w:rPr>
          <w:rFonts w:asciiTheme="minorHAnsi" w:hAnsiTheme="minorHAnsi"/>
          <w:sz w:val="24"/>
          <w:szCs w:val="24"/>
        </w:rPr>
        <w:t xml:space="preserve"> przypadku Wojewódzkich Ośrodków Doradztwa Rolniczego zwraca uwagę duże, oscylujące w okolicach 50%, wykorzystanie dostępnych środków na funkcjonowanie przy niewielkim, kilku- kilkunastoprocentowym wykorzystaniu środków na Plan działania.</w:t>
      </w:r>
    </w:p>
    <w:p w:rsidR="0018696E" w:rsidRDefault="0018696E" w:rsidP="000E1E35">
      <w:pPr>
        <w:pStyle w:val="Akapitzlist"/>
        <w:ind w:left="425"/>
        <w:contextualSpacing w:val="0"/>
        <w:jc w:val="both"/>
        <w:rPr>
          <w:rFonts w:asciiTheme="minorHAnsi" w:hAnsiTheme="minorHAnsi"/>
          <w:sz w:val="24"/>
          <w:szCs w:val="24"/>
        </w:rPr>
      </w:pPr>
    </w:p>
    <w:p w:rsidR="0018696E" w:rsidRDefault="0018696E" w:rsidP="000E1E35">
      <w:pPr>
        <w:pStyle w:val="Akapitzlist"/>
        <w:ind w:left="425"/>
        <w:contextualSpacing w:val="0"/>
        <w:jc w:val="both"/>
        <w:rPr>
          <w:rFonts w:asciiTheme="minorHAnsi" w:hAnsiTheme="minorHAnsi"/>
          <w:sz w:val="24"/>
          <w:szCs w:val="24"/>
        </w:rPr>
      </w:pPr>
      <w:r>
        <w:rPr>
          <w:rFonts w:asciiTheme="minorHAnsi" w:hAnsiTheme="minorHAnsi"/>
          <w:sz w:val="24"/>
          <w:szCs w:val="24"/>
        </w:rPr>
        <w:lastRenderedPageBreak/>
        <w:t xml:space="preserve">W sumie wszystkie jednostki zaangażowane we wdrażanie Planu działania wraz partnerami zrealizowały 1005 operacji na kwotę 32,4 mln zł.  </w:t>
      </w:r>
    </w:p>
    <w:p w:rsidR="00B211E4" w:rsidRDefault="00D33E4A" w:rsidP="000E1E35">
      <w:pPr>
        <w:pStyle w:val="Akapitzlist"/>
        <w:ind w:left="425"/>
        <w:contextualSpacing w:val="0"/>
        <w:jc w:val="both"/>
        <w:rPr>
          <w:rFonts w:asciiTheme="minorHAnsi" w:hAnsiTheme="minorHAnsi"/>
          <w:sz w:val="24"/>
          <w:szCs w:val="24"/>
        </w:rPr>
      </w:pPr>
      <w:r>
        <w:rPr>
          <w:rFonts w:asciiTheme="minorHAnsi" w:hAnsiTheme="minorHAnsi"/>
          <w:sz w:val="24"/>
          <w:szCs w:val="24"/>
        </w:rPr>
        <w:t>W dalszej części sprawozdania dane odnoszą się do rzeczywiście wydatkowanych środków przy zastosowaniu proporcji pomiędzy działaniami/operacjami własnymi i partnerów określonych w Rozporządzeniu.</w:t>
      </w:r>
    </w:p>
    <w:p w:rsidR="00D33E4A" w:rsidRPr="004B5530" w:rsidRDefault="00D33E4A" w:rsidP="000E1E35">
      <w:pPr>
        <w:pStyle w:val="Akapitzlist"/>
        <w:ind w:left="425"/>
        <w:contextualSpacing w:val="0"/>
        <w:jc w:val="both"/>
        <w:rPr>
          <w:rFonts w:asciiTheme="minorHAnsi" w:hAnsiTheme="minorHAnsi"/>
          <w:b/>
          <w:sz w:val="24"/>
          <w:szCs w:val="24"/>
        </w:rPr>
      </w:pPr>
      <w:r w:rsidRPr="004B5530">
        <w:rPr>
          <w:rFonts w:asciiTheme="minorHAnsi" w:hAnsiTheme="minorHAnsi"/>
          <w:b/>
          <w:sz w:val="24"/>
          <w:szCs w:val="24"/>
        </w:rPr>
        <w:t>Plan komunikacyjny</w:t>
      </w:r>
    </w:p>
    <w:p w:rsidR="00D33E4A" w:rsidRDefault="0018696E" w:rsidP="000E1E35">
      <w:pPr>
        <w:pStyle w:val="Akapitzlist"/>
        <w:ind w:left="425"/>
        <w:contextualSpacing w:val="0"/>
        <w:jc w:val="both"/>
        <w:rPr>
          <w:rFonts w:asciiTheme="minorHAnsi" w:hAnsiTheme="minorHAnsi"/>
          <w:sz w:val="24"/>
          <w:szCs w:val="24"/>
        </w:rPr>
      </w:pPr>
      <w:r>
        <w:rPr>
          <w:rFonts w:asciiTheme="minorHAnsi" w:hAnsiTheme="minorHAnsi"/>
          <w:sz w:val="24"/>
          <w:szCs w:val="24"/>
        </w:rPr>
        <w:t>Zgodnie z r</w:t>
      </w:r>
      <w:r w:rsidR="00547CE1">
        <w:rPr>
          <w:rFonts w:asciiTheme="minorHAnsi" w:hAnsiTheme="minorHAnsi"/>
          <w:sz w:val="24"/>
          <w:szCs w:val="24"/>
        </w:rPr>
        <w:t>ozporządzeniem na operacje</w:t>
      </w:r>
      <w:r w:rsidR="00D33E4A">
        <w:rPr>
          <w:rFonts w:asciiTheme="minorHAnsi" w:hAnsiTheme="minorHAnsi"/>
          <w:sz w:val="24"/>
          <w:szCs w:val="24"/>
        </w:rPr>
        <w:t xml:space="preserve"> w ramach Planu komunikacyjnego (działanie 8 Planu działania) należy przeznaczyć przynajmniej 10% </w:t>
      </w:r>
      <w:r w:rsidR="00247EA2">
        <w:rPr>
          <w:rFonts w:asciiTheme="minorHAnsi" w:hAnsiTheme="minorHAnsi"/>
          <w:sz w:val="24"/>
          <w:szCs w:val="24"/>
        </w:rPr>
        <w:t xml:space="preserve">środków </w:t>
      </w:r>
      <w:r w:rsidR="00D33E4A">
        <w:rPr>
          <w:rFonts w:asciiTheme="minorHAnsi" w:hAnsiTheme="minorHAnsi"/>
          <w:sz w:val="24"/>
          <w:szCs w:val="24"/>
        </w:rPr>
        <w:t>przeznaczonych na wszystkie działania Planu działania 2014-2020.</w:t>
      </w:r>
    </w:p>
    <w:p w:rsidR="00D33E4A" w:rsidRDefault="00D33E4A" w:rsidP="000E1E35">
      <w:pPr>
        <w:pStyle w:val="Akapitzlist"/>
        <w:ind w:left="425"/>
        <w:contextualSpacing w:val="0"/>
        <w:jc w:val="both"/>
        <w:rPr>
          <w:rFonts w:asciiTheme="minorHAnsi" w:hAnsiTheme="minorHAnsi"/>
          <w:sz w:val="24"/>
          <w:szCs w:val="24"/>
        </w:rPr>
      </w:pPr>
      <w:r>
        <w:rPr>
          <w:noProof/>
        </w:rPr>
        <w:drawing>
          <wp:inline distT="0" distB="0" distL="0" distR="0" wp14:anchorId="33D01F48" wp14:editId="671F0628">
            <wp:extent cx="5780598" cy="4977516"/>
            <wp:effectExtent l="0" t="0" r="10795" b="1397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27E4C" w:rsidRDefault="00A24A5E" w:rsidP="000E1E35">
      <w:pPr>
        <w:pStyle w:val="Akapitzlist"/>
        <w:ind w:left="425"/>
        <w:contextualSpacing w:val="0"/>
        <w:jc w:val="both"/>
        <w:rPr>
          <w:rFonts w:asciiTheme="minorHAnsi" w:hAnsiTheme="minorHAnsi"/>
          <w:sz w:val="24"/>
          <w:szCs w:val="24"/>
        </w:rPr>
      </w:pPr>
      <w:r>
        <w:rPr>
          <w:rFonts w:asciiTheme="minorHAnsi" w:hAnsiTheme="minorHAnsi"/>
          <w:sz w:val="24"/>
          <w:szCs w:val="24"/>
        </w:rPr>
        <w:t xml:space="preserve">Na wykresie nie uwzględniono Agencji Restrukturyzacji i Modernizacji Rolnictwa oraz Agencji Rynku Rolnego, które realizują tylko operacje w ramach Planu komunikacyjnego, więc w ich przypadku wykorzystanie wynosi 100%. Tylko w przypadku Jednostki Regionalnej województwa lubelskiego </w:t>
      </w:r>
      <w:r w:rsidR="00027E4C">
        <w:rPr>
          <w:rFonts w:asciiTheme="minorHAnsi" w:hAnsiTheme="minorHAnsi"/>
          <w:sz w:val="24"/>
          <w:szCs w:val="24"/>
        </w:rPr>
        <w:t>procent wykorzystania środków na plan komunikacyjny znacząco odbiega od 10% progu. W ramach Planu komunikacyjnego zrealizowano 233 operacje na kwotę 6,4 mln zł.</w:t>
      </w:r>
    </w:p>
    <w:p w:rsidR="004B5530" w:rsidRDefault="004B5530">
      <w:pPr>
        <w:spacing w:after="0" w:line="240" w:lineRule="auto"/>
        <w:rPr>
          <w:rFonts w:asciiTheme="minorHAnsi" w:hAnsiTheme="minorHAnsi"/>
          <w:b/>
          <w:sz w:val="24"/>
          <w:szCs w:val="24"/>
        </w:rPr>
      </w:pPr>
      <w:r>
        <w:rPr>
          <w:rFonts w:asciiTheme="minorHAnsi" w:hAnsiTheme="minorHAnsi"/>
          <w:b/>
          <w:sz w:val="24"/>
          <w:szCs w:val="24"/>
        </w:rPr>
        <w:br w:type="page"/>
      </w:r>
    </w:p>
    <w:p w:rsidR="00247EA2" w:rsidRPr="004B5530" w:rsidRDefault="00247EA2" w:rsidP="000E1E35">
      <w:pPr>
        <w:pStyle w:val="Akapitzlist"/>
        <w:ind w:left="425"/>
        <w:contextualSpacing w:val="0"/>
        <w:jc w:val="both"/>
        <w:rPr>
          <w:rFonts w:asciiTheme="minorHAnsi" w:hAnsiTheme="minorHAnsi"/>
          <w:b/>
          <w:sz w:val="24"/>
          <w:szCs w:val="24"/>
        </w:rPr>
      </w:pPr>
      <w:r w:rsidRPr="004B5530">
        <w:rPr>
          <w:rFonts w:asciiTheme="minorHAnsi" w:hAnsiTheme="minorHAnsi"/>
          <w:b/>
          <w:sz w:val="24"/>
          <w:szCs w:val="24"/>
        </w:rPr>
        <w:lastRenderedPageBreak/>
        <w:t>Operacje Partnerów KSOW a operacje własne</w:t>
      </w:r>
      <w:r w:rsidR="00132941" w:rsidRPr="004B5530">
        <w:rPr>
          <w:rFonts w:asciiTheme="minorHAnsi" w:hAnsiTheme="minorHAnsi"/>
          <w:b/>
          <w:sz w:val="24"/>
          <w:szCs w:val="24"/>
        </w:rPr>
        <w:t xml:space="preserve"> w przypadku JR oraz JC wraz z IZ</w:t>
      </w:r>
    </w:p>
    <w:p w:rsidR="00247EA2" w:rsidRDefault="00247EA2" w:rsidP="000E1E35">
      <w:pPr>
        <w:pStyle w:val="Akapitzlist"/>
        <w:ind w:left="425"/>
        <w:contextualSpacing w:val="0"/>
        <w:jc w:val="both"/>
        <w:rPr>
          <w:rFonts w:asciiTheme="minorHAnsi" w:hAnsiTheme="minorHAnsi"/>
          <w:sz w:val="24"/>
          <w:szCs w:val="24"/>
        </w:rPr>
      </w:pPr>
      <w:r>
        <w:rPr>
          <w:rFonts w:asciiTheme="minorHAnsi" w:hAnsiTheme="minorHAnsi"/>
          <w:sz w:val="24"/>
          <w:szCs w:val="24"/>
        </w:rPr>
        <w:t>Zgodnie z rozporządzeniem, po odliczeniu Planu komunikacyjnego stosunek kosztów operacji Partnerów KSOW do  operacji własnych powinien wynosić 60% do 40%.</w:t>
      </w:r>
    </w:p>
    <w:p w:rsidR="00247EA2" w:rsidRDefault="00247EA2" w:rsidP="000E1E35">
      <w:pPr>
        <w:pStyle w:val="Akapitzlist"/>
        <w:ind w:left="425"/>
        <w:contextualSpacing w:val="0"/>
        <w:jc w:val="both"/>
        <w:rPr>
          <w:rFonts w:asciiTheme="minorHAnsi" w:hAnsiTheme="minorHAnsi"/>
          <w:sz w:val="24"/>
          <w:szCs w:val="24"/>
        </w:rPr>
      </w:pPr>
      <w:r>
        <w:rPr>
          <w:noProof/>
        </w:rPr>
        <w:drawing>
          <wp:inline distT="0" distB="0" distL="0" distR="0" wp14:anchorId="28AC6109" wp14:editId="174E9292">
            <wp:extent cx="5781676" cy="4791075"/>
            <wp:effectExtent l="0" t="0" r="9525" b="952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47EA2" w:rsidRDefault="00076AC9" w:rsidP="000E1E35">
      <w:pPr>
        <w:pStyle w:val="Akapitzlist"/>
        <w:ind w:left="425"/>
        <w:contextualSpacing w:val="0"/>
        <w:jc w:val="both"/>
        <w:rPr>
          <w:rFonts w:asciiTheme="minorHAnsi" w:hAnsiTheme="minorHAnsi"/>
          <w:sz w:val="24"/>
          <w:szCs w:val="24"/>
        </w:rPr>
      </w:pPr>
      <w:r>
        <w:rPr>
          <w:rFonts w:asciiTheme="minorHAnsi" w:hAnsiTheme="minorHAnsi"/>
          <w:sz w:val="24"/>
          <w:szCs w:val="24"/>
        </w:rPr>
        <w:t>Na koniec 2016 r. 11 jednostek regionalnych KSOW oraz Jednostka Centralna wraz z Instytucją Zarządzającą nie spełnia 60% progu</w:t>
      </w:r>
      <w:r w:rsidR="00C03D8D">
        <w:rPr>
          <w:rFonts w:asciiTheme="minorHAnsi" w:hAnsiTheme="minorHAnsi"/>
          <w:sz w:val="24"/>
          <w:szCs w:val="24"/>
        </w:rPr>
        <w:t xml:space="preserve"> operacji realizowanych przez Partnerów KSOW</w:t>
      </w:r>
      <w:r>
        <w:rPr>
          <w:rFonts w:asciiTheme="minorHAnsi" w:hAnsiTheme="minorHAnsi"/>
          <w:sz w:val="24"/>
          <w:szCs w:val="24"/>
        </w:rPr>
        <w:t xml:space="preserve">.  </w:t>
      </w:r>
      <w:r w:rsidR="00EE0011">
        <w:rPr>
          <w:rFonts w:asciiTheme="minorHAnsi" w:hAnsiTheme="minorHAnsi"/>
          <w:sz w:val="24"/>
          <w:szCs w:val="24"/>
        </w:rPr>
        <w:br/>
      </w:r>
      <w:r w:rsidR="00132941">
        <w:rPr>
          <w:rFonts w:asciiTheme="minorHAnsi" w:hAnsiTheme="minorHAnsi"/>
          <w:sz w:val="24"/>
          <w:szCs w:val="24"/>
        </w:rPr>
        <w:t xml:space="preserve">W przypadku JC i SW małopolskiego </w:t>
      </w:r>
      <w:r w:rsidR="00F92B89">
        <w:rPr>
          <w:rFonts w:asciiTheme="minorHAnsi" w:hAnsiTheme="minorHAnsi"/>
          <w:sz w:val="24"/>
          <w:szCs w:val="24"/>
        </w:rPr>
        <w:t>kwoty</w:t>
      </w:r>
      <w:r w:rsidR="00132941">
        <w:rPr>
          <w:rFonts w:asciiTheme="minorHAnsi" w:hAnsiTheme="minorHAnsi"/>
          <w:sz w:val="24"/>
          <w:szCs w:val="24"/>
        </w:rPr>
        <w:t xml:space="preserve"> operacji Partnerów KSOW nie przekraczają 30% kosztów poniesionych </w:t>
      </w:r>
      <w:r w:rsidR="00F92B89">
        <w:rPr>
          <w:rFonts w:asciiTheme="minorHAnsi" w:hAnsiTheme="minorHAnsi"/>
          <w:sz w:val="24"/>
          <w:szCs w:val="24"/>
        </w:rPr>
        <w:t>w ramach Planu działania</w:t>
      </w:r>
      <w:r w:rsidR="00132941">
        <w:rPr>
          <w:rFonts w:asciiTheme="minorHAnsi" w:hAnsiTheme="minorHAnsi"/>
          <w:sz w:val="24"/>
          <w:szCs w:val="24"/>
        </w:rPr>
        <w:t xml:space="preserve">. W okresie sprawozdawczym zrealizowano 390 operacji partnerów na kwotę 10,4 mln zł przy </w:t>
      </w:r>
      <w:r w:rsidR="00547CE1">
        <w:rPr>
          <w:rFonts w:asciiTheme="minorHAnsi" w:hAnsiTheme="minorHAnsi"/>
          <w:sz w:val="24"/>
          <w:szCs w:val="24"/>
        </w:rPr>
        <w:t>227</w:t>
      </w:r>
      <w:r w:rsidR="00132941">
        <w:rPr>
          <w:rFonts w:asciiTheme="minorHAnsi" w:hAnsiTheme="minorHAnsi"/>
          <w:sz w:val="24"/>
          <w:szCs w:val="24"/>
        </w:rPr>
        <w:t xml:space="preserve"> operacjach własnych na kwotę </w:t>
      </w:r>
      <w:r w:rsidR="00C91C04">
        <w:rPr>
          <w:rFonts w:asciiTheme="minorHAnsi" w:hAnsiTheme="minorHAnsi"/>
          <w:sz w:val="24"/>
          <w:szCs w:val="24"/>
        </w:rPr>
        <w:t>8,25</w:t>
      </w:r>
      <w:r w:rsidR="00132941">
        <w:rPr>
          <w:rFonts w:asciiTheme="minorHAnsi" w:hAnsiTheme="minorHAnsi"/>
          <w:sz w:val="24"/>
          <w:szCs w:val="24"/>
        </w:rPr>
        <w:t xml:space="preserve"> mln zł.</w:t>
      </w:r>
    </w:p>
    <w:p w:rsidR="004B5530" w:rsidRDefault="004B5530">
      <w:pPr>
        <w:spacing w:after="0" w:line="240" w:lineRule="auto"/>
        <w:rPr>
          <w:rFonts w:asciiTheme="minorHAnsi" w:hAnsiTheme="minorHAnsi"/>
          <w:sz w:val="24"/>
          <w:szCs w:val="24"/>
        </w:rPr>
      </w:pPr>
      <w:r>
        <w:rPr>
          <w:rFonts w:asciiTheme="minorHAnsi" w:hAnsiTheme="minorHAnsi"/>
          <w:sz w:val="24"/>
          <w:szCs w:val="24"/>
        </w:rPr>
        <w:br w:type="page"/>
      </w:r>
    </w:p>
    <w:p w:rsidR="00132941" w:rsidRPr="004B5530" w:rsidRDefault="00066592" w:rsidP="000E1E35">
      <w:pPr>
        <w:pStyle w:val="Akapitzlist"/>
        <w:ind w:left="425"/>
        <w:contextualSpacing w:val="0"/>
        <w:jc w:val="both"/>
        <w:rPr>
          <w:rFonts w:asciiTheme="minorHAnsi" w:hAnsiTheme="minorHAnsi"/>
          <w:b/>
          <w:sz w:val="24"/>
          <w:szCs w:val="24"/>
        </w:rPr>
      </w:pPr>
      <w:r w:rsidRPr="004B5530">
        <w:rPr>
          <w:rFonts w:asciiTheme="minorHAnsi" w:hAnsiTheme="minorHAnsi"/>
          <w:b/>
          <w:sz w:val="24"/>
          <w:szCs w:val="24"/>
        </w:rPr>
        <w:lastRenderedPageBreak/>
        <w:t>Wykorzystanie środków w podziale na działania KSOW</w:t>
      </w:r>
    </w:p>
    <w:p w:rsidR="00EA6499" w:rsidRDefault="00117C4D" w:rsidP="000E1E35">
      <w:pPr>
        <w:pStyle w:val="Akapitzlist"/>
        <w:ind w:left="425"/>
        <w:contextualSpacing w:val="0"/>
        <w:jc w:val="both"/>
        <w:rPr>
          <w:rFonts w:asciiTheme="minorHAnsi" w:hAnsiTheme="minorHAnsi"/>
          <w:sz w:val="24"/>
          <w:szCs w:val="24"/>
        </w:rPr>
      </w:pPr>
      <w:r>
        <w:rPr>
          <w:noProof/>
        </w:rPr>
        <w:drawing>
          <wp:inline distT="0" distB="0" distL="0" distR="0" wp14:anchorId="6A14D6AC" wp14:editId="0E0CBBDB">
            <wp:extent cx="5486400" cy="4277802"/>
            <wp:effectExtent l="0" t="0" r="19050" b="2794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66592" w:rsidRDefault="00066592" w:rsidP="000E1E35">
      <w:pPr>
        <w:pStyle w:val="Akapitzlist"/>
        <w:ind w:left="425"/>
        <w:contextualSpacing w:val="0"/>
        <w:jc w:val="both"/>
        <w:rPr>
          <w:rFonts w:asciiTheme="minorHAnsi" w:hAnsiTheme="minorHAnsi"/>
          <w:sz w:val="24"/>
          <w:szCs w:val="24"/>
        </w:rPr>
      </w:pPr>
      <w:r>
        <w:rPr>
          <w:rFonts w:asciiTheme="minorHAnsi" w:hAnsiTheme="minorHAnsi"/>
          <w:sz w:val="24"/>
          <w:szCs w:val="24"/>
        </w:rPr>
        <w:t xml:space="preserve">Najwięcej środków wydatkowano w ramach działania 13 </w:t>
      </w:r>
      <w:r w:rsidRPr="004B5530">
        <w:rPr>
          <w:rFonts w:asciiTheme="minorHAnsi" w:hAnsiTheme="minorHAnsi"/>
          <w:i/>
          <w:sz w:val="24"/>
          <w:szCs w:val="24"/>
        </w:rPr>
        <w:t>„Promocja zrównoważonego rozwoju obszarów wiejskich”</w:t>
      </w:r>
      <w:r>
        <w:rPr>
          <w:rFonts w:asciiTheme="minorHAnsi" w:hAnsiTheme="minorHAnsi"/>
          <w:sz w:val="24"/>
          <w:szCs w:val="24"/>
        </w:rPr>
        <w:t xml:space="preserve"> – 10,</w:t>
      </w:r>
      <w:r w:rsidR="004B5530">
        <w:rPr>
          <w:rFonts w:asciiTheme="minorHAnsi" w:hAnsiTheme="minorHAnsi"/>
          <w:sz w:val="24"/>
          <w:szCs w:val="24"/>
        </w:rPr>
        <w:t>5 mln zł oraz działania</w:t>
      </w:r>
      <w:r>
        <w:rPr>
          <w:rFonts w:asciiTheme="minorHAnsi" w:hAnsiTheme="minorHAnsi"/>
          <w:sz w:val="24"/>
          <w:szCs w:val="24"/>
        </w:rPr>
        <w:t xml:space="preserve"> 10 </w:t>
      </w:r>
      <w:r w:rsidRPr="004B5530">
        <w:rPr>
          <w:rFonts w:asciiTheme="minorHAnsi" w:hAnsiTheme="minorHAnsi"/>
          <w:i/>
          <w:sz w:val="24"/>
          <w:szCs w:val="24"/>
        </w:rPr>
        <w:t>„Organizacja i udział w targach, wystawach tematycznych na rzecz prezentacji osiągnięć i promocji polskiej wsi w kraju i za granicą”</w:t>
      </w:r>
      <w:r>
        <w:rPr>
          <w:rFonts w:asciiTheme="minorHAnsi" w:hAnsiTheme="minorHAnsi"/>
          <w:sz w:val="24"/>
          <w:szCs w:val="24"/>
        </w:rPr>
        <w:t xml:space="preserve"> – 6,7 mln zł. </w:t>
      </w:r>
      <w:r w:rsidR="004B5530">
        <w:rPr>
          <w:rFonts w:asciiTheme="minorHAnsi" w:hAnsiTheme="minorHAnsi"/>
          <w:sz w:val="24"/>
          <w:szCs w:val="24"/>
        </w:rPr>
        <w:t xml:space="preserve">Ogółem w ramach działań dodatkowych KSOW (działania 10-13) wydatkowano 19,9 mln złotych co stanowi 61,34% całości </w:t>
      </w:r>
      <w:r w:rsidR="00F92B89">
        <w:rPr>
          <w:rFonts w:asciiTheme="minorHAnsi" w:hAnsiTheme="minorHAnsi"/>
          <w:sz w:val="24"/>
          <w:szCs w:val="24"/>
        </w:rPr>
        <w:t xml:space="preserve">wydanych </w:t>
      </w:r>
      <w:r w:rsidR="004B5530">
        <w:rPr>
          <w:rFonts w:asciiTheme="minorHAnsi" w:hAnsiTheme="minorHAnsi"/>
          <w:sz w:val="24"/>
          <w:szCs w:val="24"/>
        </w:rPr>
        <w:t xml:space="preserve">środków do końca 2016 r. w ramach Planu działania 2014-2020. </w:t>
      </w:r>
    </w:p>
    <w:p w:rsidR="00C03D8D" w:rsidRPr="00C03D8D" w:rsidRDefault="00C03D8D" w:rsidP="000E1E35">
      <w:pPr>
        <w:pStyle w:val="Akapitzlist"/>
        <w:ind w:left="425"/>
        <w:contextualSpacing w:val="0"/>
        <w:jc w:val="both"/>
        <w:rPr>
          <w:rFonts w:asciiTheme="minorHAnsi" w:hAnsiTheme="minorHAnsi"/>
          <w:b/>
          <w:sz w:val="24"/>
          <w:szCs w:val="24"/>
        </w:rPr>
      </w:pPr>
      <w:r w:rsidRPr="00C03D8D">
        <w:rPr>
          <w:rFonts w:asciiTheme="minorHAnsi" w:hAnsiTheme="minorHAnsi"/>
          <w:b/>
          <w:sz w:val="24"/>
          <w:szCs w:val="24"/>
        </w:rPr>
        <w:t>Sieć na rzecz innowacji w rolnictwie i na obszarach wiejskich</w:t>
      </w:r>
    </w:p>
    <w:p w:rsidR="004D2ACA" w:rsidRDefault="0018696E" w:rsidP="000E1E35">
      <w:pPr>
        <w:pStyle w:val="Akapitzlist"/>
        <w:ind w:left="425"/>
        <w:contextualSpacing w:val="0"/>
        <w:jc w:val="both"/>
        <w:rPr>
          <w:rFonts w:asciiTheme="minorHAnsi" w:hAnsiTheme="minorHAnsi"/>
          <w:sz w:val="24"/>
          <w:szCs w:val="24"/>
        </w:rPr>
      </w:pPr>
      <w:r>
        <w:rPr>
          <w:rFonts w:asciiTheme="minorHAnsi" w:hAnsiTheme="minorHAnsi"/>
          <w:sz w:val="24"/>
          <w:szCs w:val="24"/>
        </w:rPr>
        <w:t>W przypadku SIR r</w:t>
      </w:r>
      <w:r w:rsidR="002866B1">
        <w:rPr>
          <w:rFonts w:asciiTheme="minorHAnsi" w:hAnsiTheme="minorHAnsi"/>
          <w:sz w:val="24"/>
          <w:szCs w:val="24"/>
        </w:rPr>
        <w:t xml:space="preserve">ozporządzenia narzuca 50% podział kosztów pomiędzy działaniem 2 </w:t>
      </w:r>
      <w:r w:rsidR="002866B1" w:rsidRPr="004D2ACA">
        <w:rPr>
          <w:rFonts w:asciiTheme="minorHAnsi" w:hAnsiTheme="minorHAnsi"/>
          <w:i/>
          <w:sz w:val="24"/>
          <w:szCs w:val="24"/>
        </w:rPr>
        <w:t>„</w:t>
      </w:r>
      <w:r w:rsidR="004D2ACA" w:rsidRPr="004D2ACA">
        <w:rPr>
          <w:rFonts w:asciiTheme="minorHAnsi" w:hAnsiTheme="minorHAnsi"/>
          <w:i/>
          <w:sz w:val="24"/>
          <w:szCs w:val="24"/>
        </w:rPr>
        <w:t>Działania na rzecz tworzenia sieci kontaktów dla doradców i służb wspierających wdrażanie innowacji na obszarach wiejskich</w:t>
      </w:r>
      <w:r w:rsidR="002866B1" w:rsidRPr="004D2ACA">
        <w:rPr>
          <w:rFonts w:asciiTheme="minorHAnsi" w:hAnsiTheme="minorHAnsi"/>
          <w:i/>
          <w:sz w:val="24"/>
          <w:szCs w:val="24"/>
        </w:rPr>
        <w:t>”</w:t>
      </w:r>
      <w:r w:rsidR="002866B1">
        <w:rPr>
          <w:rFonts w:asciiTheme="minorHAnsi" w:hAnsiTheme="minorHAnsi"/>
          <w:sz w:val="24"/>
          <w:szCs w:val="24"/>
        </w:rPr>
        <w:t xml:space="preserve"> a działaniem 5 </w:t>
      </w:r>
      <w:r w:rsidR="002866B1" w:rsidRPr="004D2ACA">
        <w:rPr>
          <w:rFonts w:asciiTheme="minorHAnsi" w:hAnsiTheme="minorHAnsi"/>
          <w:i/>
          <w:sz w:val="24"/>
          <w:szCs w:val="24"/>
        </w:rPr>
        <w:t>„</w:t>
      </w:r>
      <w:r w:rsidR="004D2ACA" w:rsidRPr="004D2ACA">
        <w:rPr>
          <w:rFonts w:asciiTheme="minorHAnsi" w:hAnsiTheme="minorHAnsi"/>
          <w:i/>
          <w:sz w:val="24"/>
          <w:szCs w:val="24"/>
        </w:rPr>
        <w:t>Poszukiwanie partnerów KSOW do współpracy w ramach działania „Współpraca”, o którym mowa w art. 3 ust.1 pkt. 13 ustawy o wspieraniu rozwoju obszarów wiejskich z udziałem środków EFRROW w ramach PROW na lata 2014-2020 oraz ułatwianie tej współpracy</w:t>
      </w:r>
      <w:r w:rsidR="002866B1" w:rsidRPr="004D2ACA">
        <w:rPr>
          <w:rFonts w:asciiTheme="minorHAnsi" w:hAnsiTheme="minorHAnsi"/>
          <w:i/>
          <w:sz w:val="24"/>
          <w:szCs w:val="24"/>
        </w:rPr>
        <w:t>”</w:t>
      </w:r>
      <w:r w:rsidR="002866B1">
        <w:rPr>
          <w:rFonts w:asciiTheme="minorHAnsi" w:hAnsiTheme="minorHAnsi"/>
          <w:sz w:val="24"/>
          <w:szCs w:val="24"/>
        </w:rPr>
        <w:t>.</w:t>
      </w:r>
      <w:r w:rsidR="004D2ACA">
        <w:rPr>
          <w:rFonts w:asciiTheme="minorHAnsi" w:hAnsiTheme="minorHAnsi"/>
          <w:sz w:val="24"/>
          <w:szCs w:val="24"/>
        </w:rPr>
        <w:t xml:space="preserve"> Procentowy udział poniesionych kosztów operacji w ramach działania 5 w stosunku do wszystkich operacji przedstawiono na poniższym wykresie. </w:t>
      </w:r>
    </w:p>
    <w:p w:rsidR="004D2ACA" w:rsidRDefault="001D6C34" w:rsidP="000E1E35">
      <w:pPr>
        <w:pStyle w:val="Akapitzlist"/>
        <w:ind w:left="425"/>
        <w:contextualSpacing w:val="0"/>
        <w:jc w:val="both"/>
        <w:rPr>
          <w:rFonts w:asciiTheme="minorHAnsi" w:hAnsiTheme="minorHAnsi"/>
          <w:sz w:val="24"/>
          <w:szCs w:val="24"/>
        </w:rPr>
      </w:pPr>
      <w:r>
        <w:rPr>
          <w:noProof/>
        </w:rPr>
        <w:lastRenderedPageBreak/>
        <w:drawing>
          <wp:inline distT="0" distB="0" distL="0" distR="0" wp14:anchorId="07BF6D0C" wp14:editId="51DCDDBE">
            <wp:extent cx="4572000" cy="4371975"/>
            <wp:effectExtent l="0" t="0" r="19050" b="9525"/>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Start w:id="0" w:name="_GoBack"/>
      <w:bookmarkEnd w:id="0"/>
    </w:p>
    <w:p w:rsidR="003E0DB3" w:rsidRDefault="00631431" w:rsidP="003E0DB3">
      <w:pPr>
        <w:pStyle w:val="Akapitzlist"/>
        <w:ind w:left="425"/>
        <w:contextualSpacing w:val="0"/>
        <w:rPr>
          <w:rFonts w:asciiTheme="minorHAnsi" w:hAnsiTheme="minorHAnsi"/>
          <w:sz w:val="24"/>
          <w:szCs w:val="24"/>
        </w:rPr>
      </w:pPr>
      <w:r>
        <w:rPr>
          <w:rFonts w:asciiTheme="minorHAnsi" w:hAnsiTheme="minorHAnsi"/>
          <w:sz w:val="24"/>
          <w:szCs w:val="24"/>
        </w:rPr>
        <w:t xml:space="preserve">W ramach działania 5 </w:t>
      </w:r>
      <w:r w:rsidR="003E0DB3">
        <w:rPr>
          <w:rFonts w:asciiTheme="minorHAnsi" w:hAnsiTheme="minorHAnsi"/>
          <w:sz w:val="24"/>
          <w:szCs w:val="24"/>
        </w:rPr>
        <w:t xml:space="preserve">w okresie sprawozdawczym </w:t>
      </w:r>
      <w:r>
        <w:rPr>
          <w:rFonts w:asciiTheme="minorHAnsi" w:hAnsiTheme="minorHAnsi"/>
          <w:sz w:val="24"/>
          <w:szCs w:val="24"/>
        </w:rPr>
        <w:t xml:space="preserve">zrealizowano </w:t>
      </w:r>
      <w:r w:rsidR="0018696E">
        <w:rPr>
          <w:rFonts w:asciiTheme="minorHAnsi" w:hAnsiTheme="minorHAnsi"/>
          <w:sz w:val="24"/>
          <w:szCs w:val="24"/>
        </w:rPr>
        <w:t>30</w:t>
      </w:r>
      <w:r w:rsidR="003E0DB3">
        <w:rPr>
          <w:rFonts w:asciiTheme="minorHAnsi" w:hAnsiTheme="minorHAnsi"/>
          <w:sz w:val="24"/>
          <w:szCs w:val="24"/>
        </w:rPr>
        <w:t xml:space="preserve"> operacji na kwotę 1,</w:t>
      </w:r>
      <w:r w:rsidR="00C91C04">
        <w:rPr>
          <w:rFonts w:asciiTheme="minorHAnsi" w:hAnsiTheme="minorHAnsi"/>
          <w:sz w:val="24"/>
          <w:szCs w:val="24"/>
        </w:rPr>
        <w:t>4</w:t>
      </w:r>
      <w:r w:rsidR="003E0DB3">
        <w:rPr>
          <w:rFonts w:asciiTheme="minorHAnsi" w:hAnsiTheme="minorHAnsi"/>
          <w:sz w:val="24"/>
          <w:szCs w:val="24"/>
        </w:rPr>
        <w:t xml:space="preserve"> mln złotych</w:t>
      </w:r>
      <w:r w:rsidR="0018696E">
        <w:rPr>
          <w:rFonts w:asciiTheme="minorHAnsi" w:hAnsiTheme="minorHAnsi"/>
          <w:sz w:val="24"/>
          <w:szCs w:val="24"/>
        </w:rPr>
        <w:t>, w tym jedną zrealizowaną przez Partnera SIR</w:t>
      </w:r>
      <w:r w:rsidR="003E0DB3">
        <w:rPr>
          <w:rFonts w:asciiTheme="minorHAnsi" w:hAnsiTheme="minorHAnsi"/>
          <w:sz w:val="24"/>
          <w:szCs w:val="24"/>
        </w:rPr>
        <w:t>, natomiast w przypadku działania 2, 125 operacj</w:t>
      </w:r>
      <w:r w:rsidR="009354C0">
        <w:rPr>
          <w:rFonts w:asciiTheme="minorHAnsi" w:hAnsiTheme="minorHAnsi"/>
          <w:sz w:val="24"/>
          <w:szCs w:val="24"/>
        </w:rPr>
        <w:t>i</w:t>
      </w:r>
      <w:r w:rsidR="003E0DB3">
        <w:rPr>
          <w:rFonts w:asciiTheme="minorHAnsi" w:hAnsiTheme="minorHAnsi"/>
          <w:sz w:val="24"/>
          <w:szCs w:val="24"/>
        </w:rPr>
        <w:t xml:space="preserve"> na kwotę 2,8 mln zł.</w:t>
      </w:r>
      <w:r w:rsidR="009354C0">
        <w:rPr>
          <w:rFonts w:asciiTheme="minorHAnsi" w:hAnsiTheme="minorHAnsi"/>
          <w:sz w:val="24"/>
          <w:szCs w:val="24"/>
        </w:rPr>
        <w:t xml:space="preserve"> </w:t>
      </w:r>
    </w:p>
    <w:p w:rsidR="009354C0" w:rsidRDefault="003E0DB3" w:rsidP="003E0DB3">
      <w:pPr>
        <w:pStyle w:val="Akapitzlist"/>
        <w:ind w:left="425"/>
        <w:contextualSpacing w:val="0"/>
        <w:rPr>
          <w:rFonts w:asciiTheme="minorHAnsi" w:hAnsiTheme="minorHAnsi"/>
          <w:sz w:val="24"/>
          <w:szCs w:val="24"/>
        </w:rPr>
      </w:pPr>
      <w:r>
        <w:rPr>
          <w:rFonts w:asciiTheme="minorHAnsi" w:hAnsiTheme="minorHAnsi"/>
          <w:sz w:val="24"/>
          <w:szCs w:val="24"/>
        </w:rPr>
        <w:t xml:space="preserve"> </w:t>
      </w:r>
    </w:p>
    <w:p w:rsidR="009354C0" w:rsidRDefault="009354C0">
      <w:pPr>
        <w:spacing w:after="0" w:line="240" w:lineRule="auto"/>
        <w:rPr>
          <w:rFonts w:asciiTheme="minorHAnsi" w:hAnsiTheme="minorHAnsi"/>
          <w:sz w:val="24"/>
          <w:szCs w:val="24"/>
        </w:rPr>
      </w:pPr>
      <w:r>
        <w:rPr>
          <w:rFonts w:asciiTheme="minorHAnsi" w:hAnsiTheme="minorHAnsi"/>
          <w:sz w:val="24"/>
          <w:szCs w:val="24"/>
        </w:rPr>
        <w:br w:type="page"/>
      </w:r>
    </w:p>
    <w:p w:rsidR="002F792E" w:rsidRDefault="00AE73BE" w:rsidP="00051080">
      <w:pPr>
        <w:pStyle w:val="Akapitzlist"/>
        <w:numPr>
          <w:ilvl w:val="0"/>
          <w:numId w:val="29"/>
        </w:numPr>
        <w:tabs>
          <w:tab w:val="clear" w:pos="720"/>
          <w:tab w:val="num" w:pos="426"/>
        </w:tabs>
        <w:spacing w:line="360" w:lineRule="auto"/>
        <w:ind w:left="426"/>
        <w:jc w:val="both"/>
        <w:rPr>
          <w:rFonts w:ascii="Times New Roman" w:hAnsi="Times New Roman"/>
          <w:b/>
          <w:sz w:val="24"/>
          <w:szCs w:val="24"/>
        </w:rPr>
      </w:pPr>
      <w:r w:rsidRPr="00241D4D">
        <w:rPr>
          <w:rFonts w:ascii="Times New Roman" w:hAnsi="Times New Roman"/>
          <w:b/>
          <w:sz w:val="24"/>
          <w:szCs w:val="24"/>
        </w:rPr>
        <w:lastRenderedPageBreak/>
        <w:t xml:space="preserve">EFEKT REALIZACJI DZIAŁAŃ KSOW W UJĘCIU ILOŚCIOWYM </w:t>
      </w:r>
    </w:p>
    <w:p w:rsidR="00051080" w:rsidRDefault="009F0F12" w:rsidP="00063659">
      <w:pPr>
        <w:pStyle w:val="Akapitzlist"/>
        <w:ind w:left="425"/>
        <w:contextualSpacing w:val="0"/>
        <w:jc w:val="both"/>
        <w:rPr>
          <w:rFonts w:asciiTheme="minorHAnsi" w:hAnsiTheme="minorHAnsi"/>
          <w:i/>
          <w:sz w:val="24"/>
          <w:szCs w:val="24"/>
        </w:rPr>
      </w:pPr>
      <w:r w:rsidRPr="009F0F12">
        <w:rPr>
          <w:rFonts w:asciiTheme="minorHAnsi" w:hAnsiTheme="minorHAnsi"/>
          <w:sz w:val="24"/>
          <w:szCs w:val="24"/>
        </w:rPr>
        <w:t xml:space="preserve">Szczegółowe dane dotyczące </w:t>
      </w:r>
      <w:r>
        <w:rPr>
          <w:rFonts w:asciiTheme="minorHAnsi" w:hAnsiTheme="minorHAnsi"/>
          <w:sz w:val="24"/>
          <w:szCs w:val="24"/>
        </w:rPr>
        <w:t>efektów działań KSOW w ujęciu ilościowym zrealizowane</w:t>
      </w:r>
      <w:r w:rsidRPr="009F0F12">
        <w:rPr>
          <w:rFonts w:asciiTheme="minorHAnsi" w:hAnsiTheme="minorHAnsi"/>
          <w:sz w:val="24"/>
          <w:szCs w:val="24"/>
        </w:rPr>
        <w:t xml:space="preserve"> do 31 grudnia 2016r. </w:t>
      </w:r>
      <w:r>
        <w:rPr>
          <w:rFonts w:asciiTheme="minorHAnsi" w:hAnsiTheme="minorHAnsi"/>
          <w:sz w:val="24"/>
          <w:szCs w:val="24"/>
        </w:rPr>
        <w:t>przedstawiono w załączniku 2</w:t>
      </w:r>
      <w:r w:rsidRPr="009F0F12">
        <w:rPr>
          <w:rFonts w:asciiTheme="minorHAnsi" w:hAnsiTheme="minorHAnsi"/>
          <w:sz w:val="24"/>
          <w:szCs w:val="24"/>
        </w:rPr>
        <w:t xml:space="preserve"> do sprawozdania – plik </w:t>
      </w:r>
      <w:r w:rsidRPr="009F0F12">
        <w:rPr>
          <w:rFonts w:asciiTheme="minorHAnsi" w:hAnsiTheme="minorHAnsi"/>
          <w:i/>
          <w:sz w:val="24"/>
          <w:szCs w:val="24"/>
        </w:rPr>
        <w:t>„</w:t>
      </w:r>
      <w:r w:rsidR="00307D30" w:rsidRPr="009F0F12">
        <w:rPr>
          <w:rFonts w:asciiTheme="minorHAnsi" w:hAnsiTheme="minorHAnsi"/>
          <w:i/>
          <w:sz w:val="24"/>
          <w:szCs w:val="24"/>
        </w:rPr>
        <w:t>Załącznik 2 do Sprawozdania rocznego z realizacji Planu działania za rok 2016.xlsx</w:t>
      </w:r>
      <w:r w:rsidRPr="009F0F12">
        <w:rPr>
          <w:rFonts w:asciiTheme="minorHAnsi" w:hAnsiTheme="minorHAnsi"/>
          <w:i/>
          <w:sz w:val="24"/>
          <w:szCs w:val="24"/>
        </w:rPr>
        <w:t>”</w:t>
      </w:r>
      <w:r>
        <w:rPr>
          <w:rFonts w:asciiTheme="minorHAnsi" w:hAnsiTheme="minorHAnsi"/>
          <w:i/>
          <w:sz w:val="24"/>
          <w:szCs w:val="24"/>
        </w:rPr>
        <w:t>.</w:t>
      </w:r>
    </w:p>
    <w:p w:rsidR="0018696E" w:rsidRDefault="00063659" w:rsidP="00733C66">
      <w:pPr>
        <w:pStyle w:val="Akapitzlist"/>
        <w:ind w:left="425"/>
        <w:contextualSpacing w:val="0"/>
        <w:jc w:val="both"/>
        <w:rPr>
          <w:rFonts w:asciiTheme="minorHAnsi" w:hAnsiTheme="minorHAnsi"/>
          <w:sz w:val="24"/>
          <w:szCs w:val="24"/>
        </w:rPr>
      </w:pPr>
      <w:r>
        <w:rPr>
          <w:rFonts w:asciiTheme="minorHAnsi" w:hAnsiTheme="minorHAnsi"/>
          <w:sz w:val="24"/>
          <w:szCs w:val="24"/>
        </w:rPr>
        <w:t>Format z</w:t>
      </w:r>
      <w:r w:rsidR="0018696E">
        <w:rPr>
          <w:rFonts w:asciiTheme="minorHAnsi" w:hAnsiTheme="minorHAnsi"/>
          <w:sz w:val="24"/>
          <w:szCs w:val="24"/>
        </w:rPr>
        <w:t>ałącznik</w:t>
      </w:r>
      <w:r>
        <w:rPr>
          <w:rFonts w:asciiTheme="minorHAnsi" w:hAnsiTheme="minorHAnsi"/>
          <w:sz w:val="24"/>
          <w:szCs w:val="24"/>
        </w:rPr>
        <w:t>a</w:t>
      </w:r>
      <w:r w:rsidR="0018696E">
        <w:rPr>
          <w:rFonts w:asciiTheme="minorHAnsi" w:hAnsiTheme="minorHAnsi"/>
          <w:sz w:val="24"/>
          <w:szCs w:val="24"/>
        </w:rPr>
        <w:t xml:space="preserve"> 2 do informacji rocznej z Planu działania</w:t>
      </w:r>
      <w:r>
        <w:rPr>
          <w:rFonts w:asciiTheme="minorHAnsi" w:hAnsiTheme="minorHAnsi"/>
          <w:sz w:val="24"/>
          <w:szCs w:val="24"/>
        </w:rPr>
        <w:t xml:space="preserve"> jest </w:t>
      </w:r>
      <w:r w:rsidR="0030532C">
        <w:rPr>
          <w:rFonts w:asciiTheme="minorHAnsi" w:hAnsiTheme="minorHAnsi"/>
          <w:sz w:val="24"/>
          <w:szCs w:val="24"/>
        </w:rPr>
        <w:t xml:space="preserve">zgodny ze </w:t>
      </w:r>
      <w:r w:rsidR="004562A0" w:rsidRPr="004562A0">
        <w:rPr>
          <w:rFonts w:asciiTheme="minorHAnsi" w:hAnsiTheme="minorHAnsi"/>
          <w:i/>
          <w:sz w:val="24"/>
          <w:szCs w:val="24"/>
        </w:rPr>
        <w:t>„</w:t>
      </w:r>
      <w:r w:rsidR="0030532C" w:rsidRPr="004562A0">
        <w:rPr>
          <w:rFonts w:asciiTheme="minorHAnsi" w:hAnsiTheme="minorHAnsi"/>
          <w:i/>
          <w:sz w:val="24"/>
          <w:szCs w:val="24"/>
        </w:rPr>
        <w:t>Wspólną Statystyką Sieci</w:t>
      </w:r>
      <w:r w:rsidR="004562A0" w:rsidRPr="004562A0">
        <w:rPr>
          <w:rFonts w:asciiTheme="minorHAnsi" w:hAnsiTheme="minorHAnsi"/>
          <w:i/>
          <w:sz w:val="24"/>
          <w:szCs w:val="24"/>
        </w:rPr>
        <w:t>”</w:t>
      </w:r>
      <w:r w:rsidR="0030532C">
        <w:rPr>
          <w:rFonts w:asciiTheme="minorHAnsi" w:hAnsiTheme="minorHAnsi"/>
          <w:sz w:val="24"/>
          <w:szCs w:val="24"/>
        </w:rPr>
        <w:t xml:space="preserve"> Europejskiej Sieci Obszarów Wiejskich.</w:t>
      </w:r>
    </w:p>
    <w:p w:rsidR="00733C66" w:rsidRDefault="00733C66" w:rsidP="00733C66">
      <w:pPr>
        <w:pStyle w:val="Akapitzlist"/>
        <w:ind w:left="425"/>
        <w:contextualSpacing w:val="0"/>
        <w:jc w:val="both"/>
        <w:rPr>
          <w:rFonts w:asciiTheme="minorHAnsi" w:hAnsiTheme="minorHAnsi"/>
          <w:sz w:val="24"/>
          <w:szCs w:val="24"/>
        </w:rPr>
      </w:pPr>
      <w:r>
        <w:rPr>
          <w:rFonts w:asciiTheme="minorHAnsi" w:hAnsiTheme="minorHAnsi"/>
          <w:sz w:val="24"/>
          <w:szCs w:val="24"/>
        </w:rPr>
        <w:t xml:space="preserve">Do końca 2016 r. jednostki zaangażowane w realizację KSOW brały udział w 1124 wydarzeniach regionalnych, 165 krajowych i 62 międzynarodowych, w których uczestniczyło 3,9 mln osób. </w:t>
      </w:r>
      <w:r w:rsidR="00A37128">
        <w:rPr>
          <w:rFonts w:asciiTheme="minorHAnsi" w:hAnsiTheme="minorHAnsi"/>
          <w:sz w:val="24"/>
          <w:szCs w:val="24"/>
        </w:rPr>
        <w:t>Przez wydarzenia rozumiane są konferencje, seminaria, szkolenia</w:t>
      </w:r>
      <w:r>
        <w:rPr>
          <w:rFonts w:asciiTheme="minorHAnsi" w:hAnsiTheme="minorHAnsi"/>
          <w:sz w:val="24"/>
          <w:szCs w:val="24"/>
        </w:rPr>
        <w:t xml:space="preserve"> i inne wydarzenia tematyczne, a także wydarzenia</w:t>
      </w:r>
      <w:r w:rsidR="00A37128" w:rsidRPr="00A37128">
        <w:rPr>
          <w:rFonts w:asciiTheme="minorHAnsi" w:hAnsiTheme="minorHAnsi"/>
          <w:sz w:val="24"/>
          <w:szCs w:val="24"/>
        </w:rPr>
        <w:t xml:space="preserve"> o charakterze promocyjnym takich jak targi, wystawy, eventy plenerowe, które współorganizowała sieć lub</w:t>
      </w:r>
      <w:r w:rsidR="00A37128">
        <w:rPr>
          <w:rFonts w:asciiTheme="minorHAnsi" w:hAnsiTheme="minorHAnsi"/>
          <w:sz w:val="24"/>
          <w:szCs w:val="24"/>
        </w:rPr>
        <w:t xml:space="preserve"> </w:t>
      </w:r>
      <w:r w:rsidR="00A37128" w:rsidRPr="00A37128">
        <w:rPr>
          <w:rFonts w:asciiTheme="minorHAnsi" w:hAnsiTheme="minorHAnsi"/>
          <w:sz w:val="24"/>
          <w:szCs w:val="24"/>
        </w:rPr>
        <w:t>w kt</w:t>
      </w:r>
      <w:r>
        <w:rPr>
          <w:rFonts w:asciiTheme="minorHAnsi" w:hAnsiTheme="minorHAnsi"/>
          <w:sz w:val="24"/>
          <w:szCs w:val="24"/>
        </w:rPr>
        <w:t>órych sieć zorganizowała stoiska</w:t>
      </w:r>
      <w:r w:rsidR="00A37128" w:rsidRPr="00A37128">
        <w:rPr>
          <w:rFonts w:asciiTheme="minorHAnsi" w:hAnsiTheme="minorHAnsi"/>
          <w:sz w:val="24"/>
          <w:szCs w:val="24"/>
        </w:rPr>
        <w:t xml:space="preserve"> informacyjne. </w:t>
      </w:r>
      <w:r w:rsidR="001D1543">
        <w:rPr>
          <w:rFonts w:asciiTheme="minorHAnsi" w:hAnsiTheme="minorHAnsi"/>
          <w:sz w:val="24"/>
          <w:szCs w:val="24"/>
        </w:rPr>
        <w:t>Duża liczba uczestników wynika z faktu</w:t>
      </w:r>
      <w:r w:rsidR="00A37128">
        <w:rPr>
          <w:rFonts w:asciiTheme="minorHAnsi" w:hAnsiTheme="minorHAnsi"/>
          <w:sz w:val="24"/>
          <w:szCs w:val="24"/>
        </w:rPr>
        <w:t xml:space="preserve">, iż do wydarzeń </w:t>
      </w:r>
      <w:r>
        <w:rPr>
          <w:rFonts w:asciiTheme="minorHAnsi" w:hAnsiTheme="minorHAnsi"/>
          <w:sz w:val="24"/>
          <w:szCs w:val="24"/>
        </w:rPr>
        <w:t>wliczone</w:t>
      </w:r>
      <w:r w:rsidR="001D1543">
        <w:rPr>
          <w:rFonts w:asciiTheme="minorHAnsi" w:hAnsiTheme="minorHAnsi"/>
          <w:sz w:val="24"/>
          <w:szCs w:val="24"/>
        </w:rPr>
        <w:t xml:space="preserve"> </w:t>
      </w:r>
      <w:r>
        <w:rPr>
          <w:rFonts w:asciiTheme="minorHAnsi" w:hAnsiTheme="minorHAnsi"/>
          <w:sz w:val="24"/>
          <w:szCs w:val="24"/>
        </w:rPr>
        <w:t>są stoiska informacyjne</w:t>
      </w:r>
      <w:r w:rsidR="001D1543">
        <w:rPr>
          <w:rFonts w:asciiTheme="minorHAnsi" w:hAnsiTheme="minorHAnsi"/>
          <w:sz w:val="24"/>
          <w:szCs w:val="24"/>
        </w:rPr>
        <w:t xml:space="preserve"> </w:t>
      </w:r>
      <w:r>
        <w:rPr>
          <w:rFonts w:asciiTheme="minorHAnsi" w:hAnsiTheme="minorHAnsi"/>
          <w:sz w:val="24"/>
          <w:szCs w:val="24"/>
        </w:rPr>
        <w:t>na</w:t>
      </w:r>
      <w:r w:rsidR="001D1543">
        <w:rPr>
          <w:rFonts w:asciiTheme="minorHAnsi" w:hAnsiTheme="minorHAnsi"/>
          <w:sz w:val="24"/>
          <w:szCs w:val="24"/>
        </w:rPr>
        <w:t xml:space="preserve"> dużych </w:t>
      </w:r>
      <w:r w:rsidR="00A37128">
        <w:rPr>
          <w:rFonts w:asciiTheme="minorHAnsi" w:hAnsiTheme="minorHAnsi"/>
          <w:sz w:val="24"/>
          <w:szCs w:val="24"/>
        </w:rPr>
        <w:t xml:space="preserve">targach krajowych i międzynarodowych, tj. </w:t>
      </w:r>
      <w:proofErr w:type="spellStart"/>
      <w:r w:rsidR="00A37128" w:rsidRPr="00A37128">
        <w:rPr>
          <w:rFonts w:asciiTheme="minorHAnsi" w:hAnsiTheme="minorHAnsi"/>
          <w:sz w:val="24"/>
          <w:szCs w:val="24"/>
        </w:rPr>
        <w:t>Agrotravel</w:t>
      </w:r>
      <w:proofErr w:type="spellEnd"/>
      <w:r w:rsidR="00A37128">
        <w:rPr>
          <w:rFonts w:asciiTheme="minorHAnsi" w:hAnsiTheme="minorHAnsi"/>
          <w:sz w:val="24"/>
          <w:szCs w:val="24"/>
        </w:rPr>
        <w:t>,</w:t>
      </w:r>
      <w:r w:rsidR="00A37128" w:rsidRPr="00A37128">
        <w:rPr>
          <w:rFonts w:asciiTheme="minorHAnsi" w:hAnsiTheme="minorHAnsi"/>
          <w:sz w:val="24"/>
          <w:szCs w:val="24"/>
        </w:rPr>
        <w:t xml:space="preserve">  </w:t>
      </w:r>
      <w:r w:rsidR="00A37128">
        <w:rPr>
          <w:rFonts w:asciiTheme="minorHAnsi" w:hAnsiTheme="minorHAnsi"/>
          <w:sz w:val="24"/>
          <w:szCs w:val="24"/>
        </w:rPr>
        <w:t xml:space="preserve">Natura Food, </w:t>
      </w:r>
      <w:proofErr w:type="spellStart"/>
      <w:r w:rsidR="00A37128" w:rsidRPr="00A37128">
        <w:rPr>
          <w:rFonts w:asciiTheme="minorHAnsi" w:hAnsiTheme="minorHAnsi"/>
          <w:sz w:val="24"/>
          <w:szCs w:val="24"/>
        </w:rPr>
        <w:t>Grune</w:t>
      </w:r>
      <w:proofErr w:type="spellEnd"/>
      <w:r w:rsidR="00A37128" w:rsidRPr="00A37128">
        <w:rPr>
          <w:rFonts w:asciiTheme="minorHAnsi" w:hAnsiTheme="minorHAnsi"/>
          <w:sz w:val="24"/>
          <w:szCs w:val="24"/>
        </w:rPr>
        <w:t xml:space="preserve"> </w:t>
      </w:r>
      <w:proofErr w:type="spellStart"/>
      <w:r w:rsidR="00A37128" w:rsidRPr="00A37128">
        <w:rPr>
          <w:rFonts w:asciiTheme="minorHAnsi" w:hAnsiTheme="minorHAnsi"/>
          <w:sz w:val="24"/>
          <w:szCs w:val="24"/>
        </w:rPr>
        <w:t>Woche</w:t>
      </w:r>
      <w:proofErr w:type="spellEnd"/>
      <w:r w:rsidR="00A37128">
        <w:rPr>
          <w:rFonts w:asciiTheme="minorHAnsi" w:hAnsiTheme="minorHAnsi"/>
          <w:sz w:val="24"/>
          <w:szCs w:val="24"/>
        </w:rPr>
        <w:t xml:space="preserve">, </w:t>
      </w:r>
      <w:proofErr w:type="spellStart"/>
      <w:r w:rsidR="00A37128">
        <w:rPr>
          <w:rFonts w:asciiTheme="minorHAnsi" w:hAnsiTheme="minorHAnsi"/>
          <w:sz w:val="24"/>
          <w:szCs w:val="24"/>
        </w:rPr>
        <w:t>BioFach</w:t>
      </w:r>
      <w:proofErr w:type="spellEnd"/>
      <w:r w:rsidR="00A37128">
        <w:rPr>
          <w:rFonts w:asciiTheme="minorHAnsi" w:hAnsiTheme="minorHAnsi"/>
          <w:sz w:val="24"/>
          <w:szCs w:val="24"/>
        </w:rPr>
        <w:t>.</w:t>
      </w:r>
    </w:p>
    <w:p w:rsidR="00733C66" w:rsidRDefault="00733C66" w:rsidP="008E6D30">
      <w:pPr>
        <w:pStyle w:val="Akapitzlist"/>
        <w:ind w:left="425"/>
        <w:contextualSpacing w:val="0"/>
        <w:rPr>
          <w:rFonts w:asciiTheme="minorHAnsi" w:hAnsiTheme="minorHAnsi"/>
          <w:sz w:val="24"/>
          <w:szCs w:val="24"/>
        </w:rPr>
      </w:pPr>
      <w:r>
        <w:rPr>
          <w:rFonts w:asciiTheme="minorHAnsi" w:hAnsiTheme="minorHAnsi"/>
          <w:sz w:val="24"/>
          <w:szCs w:val="24"/>
        </w:rPr>
        <w:t>W okresie sprawozdawczym odbyło się 905 działań o charakterze szkoleniowym (warsztaty, szkolenia, wyjazdy studyjne), w których uczestniczyło ponad 43 tys. osób.</w:t>
      </w:r>
      <w:r w:rsidR="008E6D30">
        <w:rPr>
          <w:rFonts w:asciiTheme="minorHAnsi" w:hAnsiTheme="minorHAnsi"/>
          <w:sz w:val="24"/>
          <w:szCs w:val="24"/>
        </w:rPr>
        <w:t xml:space="preserve"> </w:t>
      </w:r>
      <w:r w:rsidR="004562A0">
        <w:rPr>
          <w:rFonts w:asciiTheme="minorHAnsi" w:hAnsiTheme="minorHAnsi"/>
          <w:sz w:val="24"/>
          <w:szCs w:val="24"/>
        </w:rPr>
        <w:t>Z tego w</w:t>
      </w:r>
      <w:r w:rsidR="008E6D30">
        <w:rPr>
          <w:rFonts w:asciiTheme="minorHAnsi" w:hAnsiTheme="minorHAnsi"/>
          <w:sz w:val="24"/>
          <w:szCs w:val="24"/>
        </w:rPr>
        <w:t xml:space="preserve"> 2016 r. roku zorganizowano 776 działań w porównaniu do 129 zorganizowanych w 2015 r.</w:t>
      </w:r>
    </w:p>
    <w:p w:rsidR="0030532C" w:rsidRDefault="00127934" w:rsidP="008E6D30">
      <w:pPr>
        <w:pStyle w:val="Akapitzlist"/>
        <w:ind w:left="425"/>
        <w:contextualSpacing w:val="0"/>
        <w:jc w:val="both"/>
        <w:rPr>
          <w:rFonts w:asciiTheme="minorHAnsi" w:hAnsiTheme="minorHAnsi"/>
          <w:sz w:val="24"/>
          <w:szCs w:val="24"/>
        </w:rPr>
      </w:pPr>
      <w:r>
        <w:rPr>
          <w:rFonts w:asciiTheme="minorHAnsi" w:hAnsiTheme="minorHAnsi"/>
          <w:sz w:val="24"/>
          <w:szCs w:val="24"/>
        </w:rPr>
        <w:t xml:space="preserve">Prowadzone przez jednostki zaangażowane we wdrażanie KSOW strony internetowe były </w:t>
      </w:r>
      <w:r w:rsidR="0042343A">
        <w:rPr>
          <w:rFonts w:asciiTheme="minorHAnsi" w:hAnsiTheme="minorHAnsi"/>
          <w:sz w:val="24"/>
          <w:szCs w:val="24"/>
        </w:rPr>
        <w:t xml:space="preserve">odwiedzane ok. 10 mln razy. W latach 2015 i 2016 zanotowano 3,7 mln unikalnych użytkowników zgodnie ze statystykami podawanymi przez Google </w:t>
      </w:r>
      <w:proofErr w:type="spellStart"/>
      <w:r w:rsidR="0042343A">
        <w:rPr>
          <w:rFonts w:asciiTheme="minorHAnsi" w:hAnsiTheme="minorHAnsi"/>
          <w:sz w:val="24"/>
          <w:szCs w:val="24"/>
        </w:rPr>
        <w:t>Analitycs</w:t>
      </w:r>
      <w:proofErr w:type="spellEnd"/>
      <w:r w:rsidR="0042343A">
        <w:rPr>
          <w:rFonts w:asciiTheme="minorHAnsi" w:hAnsiTheme="minorHAnsi"/>
          <w:sz w:val="24"/>
          <w:szCs w:val="24"/>
        </w:rPr>
        <w:t xml:space="preserve">. Na koniec 2016 r. funkcjonowało 11 mediów społecznościowych, co przełożyło się na  1619 opublikowanych postów </w:t>
      </w:r>
      <w:r w:rsidR="008E6D30">
        <w:rPr>
          <w:rFonts w:asciiTheme="minorHAnsi" w:hAnsiTheme="minorHAnsi"/>
          <w:sz w:val="24"/>
          <w:szCs w:val="24"/>
        </w:rPr>
        <w:t xml:space="preserve">na </w:t>
      </w:r>
      <w:proofErr w:type="spellStart"/>
      <w:r w:rsidR="008E6D30">
        <w:rPr>
          <w:rFonts w:asciiTheme="minorHAnsi" w:hAnsiTheme="minorHAnsi"/>
          <w:sz w:val="24"/>
          <w:szCs w:val="24"/>
        </w:rPr>
        <w:t>facebooku</w:t>
      </w:r>
      <w:proofErr w:type="spellEnd"/>
      <w:r w:rsidR="008E6D30">
        <w:rPr>
          <w:rFonts w:asciiTheme="minorHAnsi" w:hAnsiTheme="minorHAnsi"/>
          <w:sz w:val="24"/>
          <w:szCs w:val="24"/>
        </w:rPr>
        <w:t xml:space="preserve"> </w:t>
      </w:r>
      <w:r w:rsidR="0042343A">
        <w:rPr>
          <w:rFonts w:asciiTheme="minorHAnsi" w:hAnsiTheme="minorHAnsi"/>
          <w:sz w:val="24"/>
          <w:szCs w:val="24"/>
        </w:rPr>
        <w:t xml:space="preserve">oraz </w:t>
      </w:r>
      <w:r w:rsidR="00E42235">
        <w:rPr>
          <w:rFonts w:asciiTheme="minorHAnsi" w:hAnsiTheme="minorHAnsi"/>
          <w:sz w:val="24"/>
          <w:szCs w:val="24"/>
        </w:rPr>
        <w:t xml:space="preserve">21 </w:t>
      </w:r>
      <w:proofErr w:type="spellStart"/>
      <w:r w:rsidR="00E42235">
        <w:rPr>
          <w:rFonts w:asciiTheme="minorHAnsi" w:hAnsiTheme="minorHAnsi"/>
          <w:sz w:val="24"/>
          <w:szCs w:val="24"/>
        </w:rPr>
        <w:t>tweetów</w:t>
      </w:r>
      <w:proofErr w:type="spellEnd"/>
      <w:r w:rsidR="00E42235">
        <w:rPr>
          <w:rFonts w:asciiTheme="minorHAnsi" w:hAnsiTheme="minorHAnsi"/>
          <w:sz w:val="24"/>
          <w:szCs w:val="24"/>
        </w:rPr>
        <w:t>.</w:t>
      </w:r>
      <w:r w:rsidR="008E6D30">
        <w:rPr>
          <w:rFonts w:asciiTheme="minorHAnsi" w:hAnsiTheme="minorHAnsi"/>
          <w:sz w:val="24"/>
          <w:szCs w:val="24"/>
        </w:rPr>
        <w:t xml:space="preserve"> Liczba fanów na Facebooku z 7623 w 2015 r. wzrosła do 35120 na koniec 2016 r.</w:t>
      </w:r>
    </w:p>
    <w:p w:rsidR="00642784" w:rsidRDefault="00E42235" w:rsidP="008E6D30">
      <w:pPr>
        <w:pStyle w:val="Akapitzlist"/>
        <w:ind w:left="425"/>
        <w:contextualSpacing w:val="0"/>
        <w:jc w:val="both"/>
        <w:rPr>
          <w:rFonts w:asciiTheme="minorHAnsi" w:hAnsiTheme="minorHAnsi"/>
          <w:sz w:val="24"/>
          <w:szCs w:val="24"/>
        </w:rPr>
      </w:pPr>
      <w:r>
        <w:rPr>
          <w:rFonts w:asciiTheme="minorHAnsi" w:hAnsiTheme="minorHAnsi"/>
          <w:sz w:val="24"/>
          <w:szCs w:val="24"/>
        </w:rPr>
        <w:t>Wydano 790 publikacji</w:t>
      </w:r>
      <w:r w:rsidR="00642784">
        <w:rPr>
          <w:rFonts w:asciiTheme="minorHAnsi" w:hAnsiTheme="minorHAnsi"/>
          <w:sz w:val="24"/>
          <w:szCs w:val="24"/>
        </w:rPr>
        <w:t xml:space="preserve"> w formie książek, ulotek i broszur. Nagrano i rozpowszechniono 1129 filmów, programów telewizyjnych i audycji radiowych. Zorganizowano 62 konkursy. W ramach innych narzędzi komunikacji publikowano artykuły w prasie i </w:t>
      </w:r>
      <w:proofErr w:type="spellStart"/>
      <w:r w:rsidR="00642784">
        <w:rPr>
          <w:rFonts w:asciiTheme="minorHAnsi" w:hAnsiTheme="minorHAnsi"/>
          <w:sz w:val="24"/>
          <w:szCs w:val="24"/>
        </w:rPr>
        <w:t>int</w:t>
      </w:r>
      <w:r w:rsidR="00421AC0">
        <w:rPr>
          <w:rFonts w:asciiTheme="minorHAnsi" w:hAnsiTheme="minorHAnsi"/>
          <w:sz w:val="24"/>
          <w:szCs w:val="24"/>
        </w:rPr>
        <w:t>er</w:t>
      </w:r>
      <w:r w:rsidR="00642784">
        <w:rPr>
          <w:rFonts w:asciiTheme="minorHAnsi" w:hAnsiTheme="minorHAnsi"/>
          <w:sz w:val="24"/>
          <w:szCs w:val="24"/>
        </w:rPr>
        <w:t>necie</w:t>
      </w:r>
      <w:proofErr w:type="spellEnd"/>
      <w:r w:rsidR="00642784">
        <w:rPr>
          <w:rFonts w:asciiTheme="minorHAnsi" w:hAnsiTheme="minorHAnsi"/>
          <w:sz w:val="24"/>
          <w:szCs w:val="24"/>
        </w:rPr>
        <w:t xml:space="preserve">, wykonano tablice informacyjne a także rozpowszechniono informacje o PROW </w:t>
      </w:r>
      <w:r w:rsidR="008E6D30">
        <w:rPr>
          <w:rFonts w:asciiTheme="minorHAnsi" w:hAnsiTheme="minorHAnsi"/>
          <w:sz w:val="24"/>
          <w:szCs w:val="24"/>
        </w:rPr>
        <w:t xml:space="preserve">2014-2020 </w:t>
      </w:r>
      <w:r w:rsidR="00642784">
        <w:rPr>
          <w:rFonts w:asciiTheme="minorHAnsi" w:hAnsiTheme="minorHAnsi"/>
          <w:sz w:val="24"/>
          <w:szCs w:val="24"/>
        </w:rPr>
        <w:t>na nośnikach elektronicznych.</w:t>
      </w:r>
    </w:p>
    <w:p w:rsidR="008E6D30" w:rsidRDefault="008E6D30" w:rsidP="000845F1">
      <w:pPr>
        <w:pStyle w:val="Akapitzlist"/>
        <w:ind w:left="425"/>
        <w:contextualSpacing w:val="0"/>
        <w:jc w:val="both"/>
        <w:rPr>
          <w:rFonts w:asciiTheme="minorHAnsi" w:hAnsiTheme="minorHAnsi"/>
          <w:sz w:val="24"/>
          <w:szCs w:val="24"/>
        </w:rPr>
      </w:pPr>
      <w:r>
        <w:rPr>
          <w:rFonts w:asciiTheme="minorHAnsi" w:hAnsiTheme="minorHAnsi"/>
          <w:sz w:val="24"/>
          <w:szCs w:val="24"/>
        </w:rPr>
        <w:t>16 Wojewódzkich Grup Roboczych ds. KSOW odbyło</w:t>
      </w:r>
      <w:r w:rsidR="004562A0">
        <w:rPr>
          <w:rFonts w:asciiTheme="minorHAnsi" w:hAnsiTheme="minorHAnsi"/>
          <w:sz w:val="24"/>
          <w:szCs w:val="24"/>
        </w:rPr>
        <w:t xml:space="preserve"> w 2016 r. 99 spotkań, wliczając w to tryb obiegowy.</w:t>
      </w:r>
    </w:p>
    <w:p w:rsidR="0030532C" w:rsidRDefault="00421AC0" w:rsidP="00BA370D">
      <w:pPr>
        <w:pStyle w:val="Akapitzlist"/>
        <w:ind w:left="425"/>
        <w:contextualSpacing w:val="0"/>
        <w:jc w:val="both"/>
        <w:rPr>
          <w:rFonts w:asciiTheme="minorHAnsi" w:hAnsiTheme="minorHAnsi"/>
          <w:sz w:val="24"/>
          <w:szCs w:val="24"/>
        </w:rPr>
      </w:pPr>
      <w:r>
        <w:rPr>
          <w:rFonts w:asciiTheme="minorHAnsi" w:hAnsiTheme="minorHAnsi"/>
          <w:sz w:val="24"/>
          <w:szCs w:val="24"/>
        </w:rPr>
        <w:t xml:space="preserve">Do końca </w:t>
      </w:r>
      <w:r w:rsidR="00BA370D">
        <w:rPr>
          <w:rFonts w:asciiTheme="minorHAnsi" w:hAnsiTheme="minorHAnsi"/>
          <w:sz w:val="24"/>
          <w:szCs w:val="24"/>
        </w:rPr>
        <w:t>2016 r. przedstawiciele jednostek wdrażających uczestniczyli</w:t>
      </w:r>
      <w:r>
        <w:rPr>
          <w:rFonts w:asciiTheme="minorHAnsi" w:hAnsiTheme="minorHAnsi"/>
          <w:sz w:val="24"/>
          <w:szCs w:val="24"/>
        </w:rPr>
        <w:t xml:space="preserve"> w</w:t>
      </w:r>
      <w:r w:rsidR="00BA370D">
        <w:rPr>
          <w:rFonts w:asciiTheme="minorHAnsi" w:hAnsiTheme="minorHAnsi"/>
          <w:sz w:val="24"/>
          <w:szCs w:val="24"/>
        </w:rPr>
        <w:t xml:space="preserve"> </w:t>
      </w:r>
      <w:r>
        <w:rPr>
          <w:rFonts w:asciiTheme="minorHAnsi" w:hAnsiTheme="minorHAnsi"/>
          <w:sz w:val="24"/>
          <w:szCs w:val="24"/>
        </w:rPr>
        <w:t>38</w:t>
      </w:r>
      <w:r w:rsidR="00BA370D">
        <w:rPr>
          <w:rFonts w:asciiTheme="minorHAnsi" w:hAnsiTheme="minorHAnsi"/>
          <w:sz w:val="24"/>
          <w:szCs w:val="24"/>
        </w:rPr>
        <w:t xml:space="preserve"> spotkaniach zorganizowanych przez Europejską Siecią Obszarów Wiejskich oraz EIP-AGRI. </w:t>
      </w:r>
      <w:r w:rsidR="000845F1">
        <w:rPr>
          <w:rFonts w:asciiTheme="minorHAnsi" w:hAnsiTheme="minorHAnsi"/>
          <w:sz w:val="24"/>
          <w:szCs w:val="24"/>
        </w:rPr>
        <w:t xml:space="preserve">W ramach współpracy przetłumaczono i rozpowszechniono 148 informacji wydanych przez EIP-AGRI </w:t>
      </w:r>
      <w:r w:rsidR="000845F1" w:rsidRPr="000845F1">
        <w:rPr>
          <w:rFonts w:asciiTheme="minorHAnsi" w:hAnsiTheme="minorHAnsi"/>
          <w:sz w:val="24"/>
          <w:szCs w:val="24"/>
        </w:rPr>
        <w:t>Service Point</w:t>
      </w:r>
      <w:r w:rsidR="000845F1">
        <w:rPr>
          <w:rFonts w:asciiTheme="minorHAnsi" w:hAnsiTheme="minorHAnsi"/>
          <w:sz w:val="24"/>
          <w:szCs w:val="24"/>
        </w:rPr>
        <w:t>.</w:t>
      </w:r>
      <w:r w:rsidR="00BA370D">
        <w:rPr>
          <w:rFonts w:asciiTheme="minorHAnsi" w:hAnsiTheme="minorHAnsi"/>
          <w:sz w:val="24"/>
          <w:szCs w:val="24"/>
        </w:rPr>
        <w:t xml:space="preserve"> </w:t>
      </w:r>
    </w:p>
    <w:p w:rsidR="0030532C" w:rsidRDefault="0030532C" w:rsidP="00063659">
      <w:pPr>
        <w:pStyle w:val="Akapitzlist"/>
        <w:ind w:left="425"/>
        <w:contextualSpacing w:val="0"/>
        <w:rPr>
          <w:rFonts w:asciiTheme="minorHAnsi" w:hAnsiTheme="minorHAnsi"/>
          <w:sz w:val="24"/>
          <w:szCs w:val="24"/>
        </w:rPr>
      </w:pPr>
    </w:p>
    <w:p w:rsidR="009F7E48" w:rsidRDefault="009F7E48" w:rsidP="00051080">
      <w:pPr>
        <w:pStyle w:val="Akapitzlist"/>
        <w:spacing w:line="360" w:lineRule="auto"/>
        <w:ind w:left="786"/>
        <w:jc w:val="both"/>
        <w:rPr>
          <w:rFonts w:ascii="Times New Roman" w:hAnsi="Times New Roman"/>
          <w:b/>
          <w:sz w:val="24"/>
          <w:szCs w:val="24"/>
        </w:rPr>
      </w:pPr>
    </w:p>
    <w:p w:rsidR="00BA370D" w:rsidRDefault="00BA370D">
      <w:pPr>
        <w:spacing w:after="0" w:line="240" w:lineRule="auto"/>
        <w:rPr>
          <w:rFonts w:ascii="Times New Roman" w:hAnsi="Times New Roman"/>
          <w:b/>
          <w:sz w:val="24"/>
          <w:szCs w:val="24"/>
        </w:rPr>
      </w:pPr>
    </w:p>
    <w:p w:rsidR="00925BA7" w:rsidRDefault="007A6A65" w:rsidP="00051080">
      <w:pPr>
        <w:pStyle w:val="Akapitzlist"/>
        <w:numPr>
          <w:ilvl w:val="0"/>
          <w:numId w:val="29"/>
        </w:numPr>
        <w:tabs>
          <w:tab w:val="clear" w:pos="720"/>
          <w:tab w:val="num" w:pos="426"/>
        </w:tabs>
        <w:spacing w:line="360" w:lineRule="auto"/>
        <w:ind w:left="426"/>
        <w:jc w:val="both"/>
        <w:rPr>
          <w:rFonts w:ascii="Times New Roman" w:hAnsi="Times New Roman"/>
          <w:b/>
          <w:sz w:val="24"/>
          <w:szCs w:val="24"/>
        </w:rPr>
      </w:pPr>
      <w:r w:rsidRPr="00E66057">
        <w:rPr>
          <w:rFonts w:ascii="Times New Roman" w:hAnsi="Times New Roman"/>
          <w:b/>
          <w:sz w:val="24"/>
          <w:szCs w:val="24"/>
        </w:rPr>
        <w:t xml:space="preserve">OPIS PODJĘTYCH DZIAŁAŃ W ODNIESIENIU DO EWALUACJI, </w:t>
      </w:r>
      <w:r w:rsidR="00E33C0D">
        <w:rPr>
          <w:rFonts w:ascii="Times New Roman" w:hAnsi="Times New Roman"/>
          <w:b/>
          <w:sz w:val="24"/>
          <w:szCs w:val="24"/>
        </w:rPr>
        <w:br/>
      </w:r>
      <w:r w:rsidRPr="00E66057">
        <w:rPr>
          <w:rFonts w:ascii="Times New Roman" w:hAnsi="Times New Roman"/>
          <w:b/>
          <w:sz w:val="24"/>
          <w:szCs w:val="24"/>
        </w:rPr>
        <w:t>W TYM EWALUACJI STRATEGII KOMUNIKACJI PROW 2014-2020</w:t>
      </w:r>
    </w:p>
    <w:p w:rsidR="009F2148" w:rsidRPr="001707E0" w:rsidRDefault="009F2148" w:rsidP="009809C8">
      <w:pPr>
        <w:pStyle w:val="Akapitzlist"/>
        <w:ind w:left="425"/>
        <w:jc w:val="both"/>
        <w:rPr>
          <w:rFonts w:asciiTheme="minorHAnsi" w:hAnsiTheme="minorHAnsi"/>
          <w:sz w:val="24"/>
          <w:szCs w:val="24"/>
        </w:rPr>
      </w:pPr>
      <w:r w:rsidRPr="001707E0">
        <w:rPr>
          <w:rFonts w:asciiTheme="minorHAnsi" w:hAnsiTheme="minorHAnsi"/>
          <w:sz w:val="24"/>
          <w:szCs w:val="24"/>
        </w:rPr>
        <w:t>W 2016 r. przeprowadzone zostały następujące badania ewaluacyjne, których zakres dotyczył Strategii komunikacji PROW 2014-2020:</w:t>
      </w:r>
    </w:p>
    <w:p w:rsidR="009F2148" w:rsidRPr="001707E0" w:rsidRDefault="009F2148" w:rsidP="009809C8">
      <w:pPr>
        <w:pStyle w:val="Akapitzlist"/>
        <w:numPr>
          <w:ilvl w:val="0"/>
          <w:numId w:val="35"/>
        </w:numPr>
        <w:jc w:val="both"/>
        <w:rPr>
          <w:rFonts w:asciiTheme="minorHAnsi" w:hAnsiTheme="minorHAnsi"/>
          <w:sz w:val="24"/>
          <w:szCs w:val="24"/>
        </w:rPr>
      </w:pPr>
      <w:r w:rsidRPr="001707E0">
        <w:rPr>
          <w:rFonts w:asciiTheme="minorHAnsi" w:hAnsiTheme="minorHAnsi"/>
          <w:sz w:val="24"/>
          <w:szCs w:val="24"/>
        </w:rPr>
        <w:t>Dobór kanałów i narzędzi do realizacji Działania 9 „Kompleksowy projekt promocji Programu Rozwoju Obszarów Wiejskich na lata 2014–2020 (PROW 2014-2020)” Planu komunikacyjnego PROW 2014-2020 w ramach Planu działania KSOW na lata 2014-2020,</w:t>
      </w:r>
    </w:p>
    <w:p w:rsidR="009F2148" w:rsidRPr="001707E0" w:rsidRDefault="009F2148" w:rsidP="009809C8">
      <w:pPr>
        <w:pStyle w:val="Akapitzlist"/>
        <w:numPr>
          <w:ilvl w:val="0"/>
          <w:numId w:val="35"/>
        </w:numPr>
        <w:ind w:left="782" w:hanging="357"/>
        <w:contextualSpacing w:val="0"/>
        <w:jc w:val="both"/>
        <w:rPr>
          <w:rFonts w:asciiTheme="minorHAnsi" w:hAnsiTheme="minorHAnsi"/>
          <w:sz w:val="24"/>
          <w:szCs w:val="24"/>
        </w:rPr>
      </w:pPr>
      <w:r w:rsidRPr="001707E0">
        <w:rPr>
          <w:rFonts w:asciiTheme="minorHAnsi" w:hAnsiTheme="minorHAnsi"/>
          <w:sz w:val="24"/>
          <w:szCs w:val="24"/>
        </w:rPr>
        <w:t>Ocena systemu monitorowania i ewaluacji PROW 2014-2020.</w:t>
      </w:r>
    </w:p>
    <w:p w:rsidR="009F2148" w:rsidRPr="001707E0" w:rsidRDefault="009F2148" w:rsidP="009809C8">
      <w:pPr>
        <w:pStyle w:val="Akapitzlist"/>
        <w:ind w:left="425"/>
        <w:contextualSpacing w:val="0"/>
        <w:jc w:val="both"/>
        <w:rPr>
          <w:rFonts w:asciiTheme="minorHAnsi" w:hAnsiTheme="minorHAnsi"/>
          <w:sz w:val="24"/>
          <w:szCs w:val="24"/>
        </w:rPr>
      </w:pPr>
      <w:r w:rsidRPr="001707E0">
        <w:rPr>
          <w:rFonts w:asciiTheme="minorHAnsi" w:hAnsiTheme="minorHAnsi"/>
          <w:sz w:val="24"/>
          <w:szCs w:val="24"/>
        </w:rPr>
        <w:t>Celem badania „Dobór kanałów i narzędzi do realizacji Działania 9...” było określenie dla Kompleksowego projektu promocji PROW 2014–2020 kanałów komunikacji, wskazanie odpowiednich możliwych do zastosowania narzędzi komunikacji oraz wskazanie i opis systemu pomiaru efektów.  W ramach badania wykorzystane zostały ilościowe i jakościowe me</w:t>
      </w:r>
      <w:r w:rsidR="00B2284F">
        <w:rPr>
          <w:rFonts w:asciiTheme="minorHAnsi" w:hAnsiTheme="minorHAnsi"/>
          <w:sz w:val="24"/>
          <w:szCs w:val="24"/>
        </w:rPr>
        <w:t>tody badawcze. Z</w:t>
      </w:r>
      <w:r w:rsidRPr="001707E0">
        <w:rPr>
          <w:rFonts w:asciiTheme="minorHAnsi" w:hAnsiTheme="minorHAnsi"/>
          <w:sz w:val="24"/>
          <w:szCs w:val="24"/>
        </w:rPr>
        <w:t>badany został sposób postrzegania PROW, przygotowana została charakterystyka grupy docelowej Kompleksowego projektu, nośniki informacji, wskazania odnośnie doboru kanałów i instrumentów do realizacji działań komunikacyjnych. Efektem badania jest również analiza możliwości i ograniczeń realizacji projektu, w tym ryzyka i bariery oraz opis systemu pomiaru efektów Kompleksowego projektu.</w:t>
      </w:r>
    </w:p>
    <w:p w:rsidR="009F2148" w:rsidRPr="001707E0" w:rsidRDefault="009F2148" w:rsidP="009809C8">
      <w:pPr>
        <w:pStyle w:val="Akapitzlist"/>
        <w:ind w:left="425"/>
        <w:contextualSpacing w:val="0"/>
        <w:jc w:val="both"/>
        <w:rPr>
          <w:rFonts w:asciiTheme="minorHAnsi" w:hAnsiTheme="minorHAnsi"/>
          <w:sz w:val="24"/>
          <w:szCs w:val="24"/>
        </w:rPr>
      </w:pPr>
      <w:r w:rsidRPr="001707E0">
        <w:rPr>
          <w:rFonts w:asciiTheme="minorHAnsi" w:hAnsiTheme="minorHAnsi"/>
          <w:sz w:val="24"/>
          <w:szCs w:val="24"/>
        </w:rPr>
        <w:t xml:space="preserve">Natomiast w ramach badania „Ocena systemu monitorowania i ewaluacji PROW 2014-2020” dokonana została ocena m. in. wskaźników monitorowania Strategii komunikacji PROW 2014-2020 zawartych w załączniku 1 do Strategii.  W wynikach badania zarekomendowane zostało uproszczenie wskaźników ze względu na to, że zestaw wskaźników służących monitorowaniu Strategii jest obszerny, w części zawiera wskaźniki mało użyteczne lub wskaźniki mają nieprecyzyjne definicje. Ponadto w kilku przypadkach mylnie został zakwalifikowany dany wskaźnik (jako wskaźnik rezultatu, oddziaływania). Rekomendacje i wnioski podlegają aktualnie ocenie i uwzględnienie ich w Strategii, a następnie we wzorach sprawozdań, przewidywane jest na 2017 r. </w:t>
      </w:r>
    </w:p>
    <w:p w:rsidR="009F2148" w:rsidRPr="001707E0" w:rsidRDefault="009F2148" w:rsidP="009809C8">
      <w:pPr>
        <w:pStyle w:val="Akapitzlist"/>
        <w:ind w:left="425"/>
        <w:contextualSpacing w:val="0"/>
        <w:jc w:val="both"/>
        <w:rPr>
          <w:rFonts w:asciiTheme="minorHAnsi" w:hAnsiTheme="minorHAnsi"/>
          <w:sz w:val="24"/>
          <w:szCs w:val="24"/>
        </w:rPr>
      </w:pPr>
      <w:r w:rsidRPr="001707E0">
        <w:rPr>
          <w:rFonts w:asciiTheme="minorHAnsi" w:hAnsiTheme="minorHAnsi"/>
          <w:sz w:val="24"/>
          <w:szCs w:val="24"/>
        </w:rPr>
        <w:t>Ze względów proceduralnych badanie „Ocena wskaźników rezultatu i oddziaływania Strategii komunikacji PROW 2014-2020”, którego celem jest określenie wartości docelowej i ocena wskaźników rezultatu i oddziaływania Strategii nie zostało zrealizowane. Przeprowadzenie badania przewidywane jest na pierwsze półrocze 2017 r.</w:t>
      </w:r>
    </w:p>
    <w:p w:rsidR="009F2148" w:rsidRPr="001707E0" w:rsidRDefault="009F2148" w:rsidP="009809C8">
      <w:pPr>
        <w:pStyle w:val="Akapitzlist"/>
        <w:ind w:left="425"/>
        <w:jc w:val="both"/>
        <w:rPr>
          <w:rFonts w:asciiTheme="minorHAnsi" w:hAnsiTheme="minorHAnsi"/>
          <w:sz w:val="24"/>
          <w:szCs w:val="24"/>
        </w:rPr>
      </w:pPr>
      <w:r w:rsidRPr="001707E0">
        <w:rPr>
          <w:rFonts w:asciiTheme="minorHAnsi" w:hAnsiTheme="minorHAnsi"/>
          <w:sz w:val="24"/>
          <w:szCs w:val="24"/>
        </w:rPr>
        <w:t>Aktualnie zlecona została realizacja badania pn. „Ocena rezultatów wdrażania Programu Rozwoju Obszarów Wiejskich na lata 2014-2020 w latach 2014-2016”, w ramach której m. in. podsumowany zostanie dotychczasowy przebieg wdrażania PROW 2014-2020, dokonana zostanie ocena wyników realizacji Programu, w tym pomocy technicznej, a w jej ramach KSOW. Badanie wskaże obszary wymagające korekty tak by skutecznie poprawić efektywność wdrażania Programu.</w:t>
      </w:r>
    </w:p>
    <w:p w:rsidR="009F2148" w:rsidRPr="001707E0" w:rsidRDefault="009F2148" w:rsidP="009809C8">
      <w:pPr>
        <w:pStyle w:val="Akapitzlist"/>
        <w:ind w:left="425"/>
        <w:jc w:val="both"/>
        <w:rPr>
          <w:rFonts w:asciiTheme="minorHAnsi" w:hAnsiTheme="minorHAnsi"/>
          <w:sz w:val="24"/>
          <w:szCs w:val="24"/>
        </w:rPr>
      </w:pPr>
      <w:r w:rsidRPr="001707E0">
        <w:rPr>
          <w:rFonts w:asciiTheme="minorHAnsi" w:hAnsiTheme="minorHAnsi"/>
          <w:sz w:val="24"/>
          <w:szCs w:val="24"/>
        </w:rPr>
        <w:lastRenderedPageBreak/>
        <w:t>W zakresie KSOW badanie odpo</w:t>
      </w:r>
      <w:r w:rsidR="00B2284F">
        <w:rPr>
          <w:rFonts w:asciiTheme="minorHAnsi" w:hAnsiTheme="minorHAnsi"/>
          <w:sz w:val="24"/>
          <w:szCs w:val="24"/>
        </w:rPr>
        <w:t>wie na pytanie w jakim stopniu Krajowa Sieć Obszarów W</w:t>
      </w:r>
      <w:r w:rsidRPr="001707E0">
        <w:rPr>
          <w:rFonts w:asciiTheme="minorHAnsi" w:hAnsiTheme="minorHAnsi"/>
          <w:sz w:val="24"/>
          <w:szCs w:val="24"/>
        </w:rPr>
        <w:t>iejskich przyczynia się do osiągnięcia celów, o których mowa w art. 54 ust. 2 rozporządzenia (UE)</w:t>
      </w:r>
      <w:r w:rsidR="00B2284F">
        <w:rPr>
          <w:rFonts w:asciiTheme="minorHAnsi" w:hAnsiTheme="minorHAnsi"/>
          <w:sz w:val="24"/>
          <w:szCs w:val="24"/>
        </w:rPr>
        <w:t xml:space="preserve"> </w:t>
      </w:r>
      <w:r w:rsidRPr="001707E0">
        <w:rPr>
          <w:rFonts w:asciiTheme="minorHAnsi" w:hAnsiTheme="minorHAnsi"/>
          <w:sz w:val="24"/>
          <w:szCs w:val="24"/>
        </w:rPr>
        <w:t xml:space="preserve">nr 1305/2013, tj. </w:t>
      </w:r>
    </w:p>
    <w:p w:rsidR="009F2148" w:rsidRPr="001707E0" w:rsidRDefault="009F2148" w:rsidP="009809C8">
      <w:pPr>
        <w:pStyle w:val="Akapitzlist"/>
        <w:numPr>
          <w:ilvl w:val="0"/>
          <w:numId w:val="36"/>
        </w:numPr>
        <w:jc w:val="both"/>
        <w:rPr>
          <w:rFonts w:asciiTheme="minorHAnsi" w:hAnsiTheme="minorHAnsi"/>
          <w:sz w:val="24"/>
          <w:szCs w:val="24"/>
        </w:rPr>
      </w:pPr>
      <w:r w:rsidRPr="001707E0">
        <w:rPr>
          <w:rFonts w:asciiTheme="minorHAnsi" w:hAnsiTheme="minorHAnsi"/>
          <w:sz w:val="24"/>
          <w:szCs w:val="24"/>
        </w:rPr>
        <w:t>zwiększenia udziału zainteresowanych stron we wdrażaniu programu rozwoju obszarów wiejskich;</w:t>
      </w:r>
    </w:p>
    <w:p w:rsidR="009F2148" w:rsidRPr="001707E0" w:rsidRDefault="009F2148" w:rsidP="009809C8">
      <w:pPr>
        <w:pStyle w:val="Akapitzlist"/>
        <w:numPr>
          <w:ilvl w:val="0"/>
          <w:numId w:val="36"/>
        </w:numPr>
        <w:jc w:val="both"/>
        <w:rPr>
          <w:rFonts w:asciiTheme="minorHAnsi" w:hAnsiTheme="minorHAnsi"/>
          <w:sz w:val="24"/>
          <w:szCs w:val="24"/>
        </w:rPr>
      </w:pPr>
      <w:r w:rsidRPr="001707E0">
        <w:rPr>
          <w:rFonts w:asciiTheme="minorHAnsi" w:hAnsiTheme="minorHAnsi"/>
          <w:sz w:val="24"/>
          <w:szCs w:val="24"/>
        </w:rPr>
        <w:t>podniesienia jakości wdrażania programu rozwoju obszarów wiejskich;</w:t>
      </w:r>
    </w:p>
    <w:p w:rsidR="009F2148" w:rsidRPr="001707E0" w:rsidRDefault="009F2148" w:rsidP="009809C8">
      <w:pPr>
        <w:pStyle w:val="Akapitzlist"/>
        <w:numPr>
          <w:ilvl w:val="0"/>
          <w:numId w:val="36"/>
        </w:numPr>
        <w:jc w:val="both"/>
        <w:rPr>
          <w:rFonts w:asciiTheme="minorHAnsi" w:hAnsiTheme="minorHAnsi"/>
          <w:sz w:val="24"/>
          <w:szCs w:val="24"/>
        </w:rPr>
      </w:pPr>
      <w:r w:rsidRPr="001707E0">
        <w:rPr>
          <w:rFonts w:asciiTheme="minorHAnsi" w:hAnsiTheme="minorHAnsi"/>
          <w:sz w:val="24"/>
          <w:szCs w:val="24"/>
        </w:rPr>
        <w:t>informowania społeczeństwa i potencjalnych beneficjentów o polityce rozwoju obszarów wiejskich i o możliwościach finansowania;</w:t>
      </w:r>
    </w:p>
    <w:p w:rsidR="009F2148" w:rsidRPr="001707E0" w:rsidRDefault="009F2148" w:rsidP="009809C8">
      <w:pPr>
        <w:pStyle w:val="Akapitzlist"/>
        <w:numPr>
          <w:ilvl w:val="0"/>
          <w:numId w:val="36"/>
        </w:numPr>
        <w:jc w:val="both"/>
        <w:rPr>
          <w:rFonts w:asciiTheme="minorHAnsi" w:hAnsiTheme="minorHAnsi"/>
          <w:sz w:val="24"/>
          <w:szCs w:val="24"/>
        </w:rPr>
      </w:pPr>
      <w:r w:rsidRPr="001707E0">
        <w:rPr>
          <w:rFonts w:asciiTheme="minorHAnsi" w:hAnsiTheme="minorHAnsi"/>
          <w:sz w:val="24"/>
          <w:szCs w:val="24"/>
        </w:rPr>
        <w:t>wspierania innowacji w rolnictwie, produkcji żywności, leśnictwie i na obszarach wiejskich.</w:t>
      </w:r>
    </w:p>
    <w:p w:rsidR="00FF0C0D" w:rsidRPr="001707E0" w:rsidRDefault="009F2148" w:rsidP="009809C8">
      <w:pPr>
        <w:pStyle w:val="Akapitzlist"/>
        <w:ind w:left="425"/>
        <w:jc w:val="both"/>
        <w:rPr>
          <w:rFonts w:asciiTheme="minorHAnsi" w:hAnsiTheme="minorHAnsi"/>
          <w:sz w:val="24"/>
          <w:szCs w:val="24"/>
        </w:rPr>
      </w:pPr>
      <w:r w:rsidRPr="001707E0">
        <w:rPr>
          <w:rFonts w:asciiTheme="minorHAnsi" w:hAnsiTheme="minorHAnsi"/>
          <w:sz w:val="24"/>
          <w:szCs w:val="24"/>
        </w:rPr>
        <w:t xml:space="preserve">Litera c odnosi się bezpośrednio do działań informacyjnych i reklamowych opisanych </w:t>
      </w:r>
      <w:r w:rsidR="001707E0">
        <w:rPr>
          <w:rFonts w:asciiTheme="minorHAnsi" w:hAnsiTheme="minorHAnsi"/>
          <w:sz w:val="24"/>
          <w:szCs w:val="24"/>
        </w:rPr>
        <w:br/>
      </w:r>
      <w:r w:rsidRPr="001707E0">
        <w:rPr>
          <w:rFonts w:asciiTheme="minorHAnsi" w:hAnsiTheme="minorHAnsi"/>
          <w:sz w:val="24"/>
          <w:szCs w:val="24"/>
        </w:rPr>
        <w:t>w Strategii.</w:t>
      </w:r>
    </w:p>
    <w:p w:rsidR="001707E0" w:rsidRDefault="001707E0" w:rsidP="009F2148">
      <w:pPr>
        <w:pStyle w:val="Akapitzlist"/>
        <w:spacing w:line="240" w:lineRule="auto"/>
        <w:ind w:left="425"/>
        <w:jc w:val="both"/>
        <w:rPr>
          <w:rFonts w:asciiTheme="minorHAnsi" w:hAnsiTheme="minorHAnsi"/>
        </w:rPr>
      </w:pPr>
    </w:p>
    <w:p w:rsidR="00A53B28" w:rsidRPr="009F2148" w:rsidRDefault="00A53B28" w:rsidP="009F2148">
      <w:pPr>
        <w:pStyle w:val="Akapitzlist"/>
        <w:spacing w:line="240" w:lineRule="auto"/>
        <w:ind w:left="425"/>
        <w:jc w:val="both"/>
        <w:rPr>
          <w:rFonts w:asciiTheme="minorHAnsi" w:hAnsiTheme="minorHAnsi"/>
        </w:rPr>
      </w:pPr>
    </w:p>
    <w:p w:rsidR="0011480F" w:rsidRPr="00241D4D" w:rsidRDefault="00AE73BE" w:rsidP="00FD4B16">
      <w:pPr>
        <w:pStyle w:val="Akapitzlist"/>
        <w:numPr>
          <w:ilvl w:val="0"/>
          <w:numId w:val="29"/>
        </w:numPr>
        <w:tabs>
          <w:tab w:val="clear" w:pos="720"/>
          <w:tab w:val="num" w:pos="426"/>
        </w:tabs>
        <w:spacing w:after="0" w:line="360" w:lineRule="auto"/>
        <w:ind w:left="425" w:hanging="357"/>
        <w:jc w:val="both"/>
        <w:rPr>
          <w:rFonts w:ascii="Times New Roman" w:hAnsi="Times New Roman"/>
          <w:b/>
          <w:sz w:val="24"/>
          <w:szCs w:val="24"/>
        </w:rPr>
      </w:pPr>
      <w:r w:rsidRPr="00241D4D">
        <w:rPr>
          <w:rFonts w:ascii="Times New Roman" w:hAnsi="Times New Roman"/>
          <w:b/>
          <w:sz w:val="24"/>
          <w:szCs w:val="24"/>
        </w:rPr>
        <w:t xml:space="preserve">PODSUMOWANIE GŁÓWNYCH PROBLEMÓW NAPOTKANYCH PODCZAS WDRAŻANIA KSOW ORAZ PODJĘTYCH ŚRODKÓW NAPRAWCZYCH </w:t>
      </w:r>
    </w:p>
    <w:p w:rsidR="0011480F" w:rsidRPr="001707E0" w:rsidRDefault="0011480F" w:rsidP="00D534C3">
      <w:pPr>
        <w:spacing w:after="0" w:line="360" w:lineRule="auto"/>
        <w:ind w:firstLine="360"/>
        <w:jc w:val="both"/>
        <w:rPr>
          <w:rFonts w:asciiTheme="minorHAnsi" w:hAnsiTheme="minorHAnsi"/>
          <w:color w:val="000000"/>
          <w:sz w:val="24"/>
          <w:szCs w:val="24"/>
        </w:rPr>
      </w:pPr>
      <w:r w:rsidRPr="001707E0">
        <w:rPr>
          <w:rFonts w:asciiTheme="minorHAnsi" w:hAnsiTheme="minorHAnsi"/>
          <w:color w:val="000000"/>
          <w:sz w:val="24"/>
          <w:szCs w:val="24"/>
        </w:rPr>
        <w:t xml:space="preserve">Zestawienie problemów wskazanych przez jednostki regionalne,  IZ, SIR. </w:t>
      </w:r>
    </w:p>
    <w:p w:rsidR="00393FA0" w:rsidRPr="001707E0" w:rsidRDefault="00051080" w:rsidP="00051080">
      <w:pPr>
        <w:pStyle w:val="Akapitzlist"/>
        <w:numPr>
          <w:ilvl w:val="0"/>
          <w:numId w:val="33"/>
        </w:numPr>
        <w:jc w:val="both"/>
        <w:rPr>
          <w:rFonts w:asciiTheme="minorHAnsi" w:hAnsiTheme="minorHAnsi"/>
          <w:sz w:val="24"/>
          <w:szCs w:val="24"/>
        </w:rPr>
      </w:pPr>
      <w:r w:rsidRPr="001707E0">
        <w:rPr>
          <w:rFonts w:asciiTheme="minorHAnsi" w:hAnsiTheme="minorHAnsi"/>
          <w:sz w:val="24"/>
          <w:szCs w:val="24"/>
        </w:rPr>
        <w:t xml:space="preserve">Długotrwała procedura dokonywania zmian w dwuletnim planie operacyjnym KSOW 2016-2017 i ich akceptacji przez Grupę Roboczą ds. KSOW. W  2016 roku pierwsze zmiany do Planu Operacyjnego KSOW na 2016 rok zostały zaakceptowane w październiku 2016 roku, </w:t>
      </w:r>
      <w:r w:rsidRPr="001707E0">
        <w:rPr>
          <w:rFonts w:asciiTheme="minorHAnsi" w:hAnsiTheme="minorHAnsi"/>
          <w:sz w:val="24"/>
          <w:szCs w:val="24"/>
        </w:rPr>
        <w:br/>
        <w:t xml:space="preserve">co uniemożliwiło bądź utrudniło np. ze względu na konieczność przeprowadzenia postępowań przetargowych realizacje operacji, o których dodanie wnioskowano w zmianach do PO KSOW 2016-2017. </w:t>
      </w:r>
      <w:r w:rsidRPr="001707E0">
        <w:rPr>
          <w:rFonts w:asciiTheme="minorHAnsi" w:hAnsiTheme="minorHAnsi"/>
          <w:i/>
          <w:sz w:val="24"/>
          <w:szCs w:val="24"/>
        </w:rPr>
        <w:t>(dolnośląskie, lubuskie, podkarpackie, zachodniopomorskie, SIR)</w:t>
      </w:r>
    </w:p>
    <w:p w:rsidR="00051080" w:rsidRPr="001707E0" w:rsidRDefault="00051080" w:rsidP="00393FA0">
      <w:pPr>
        <w:pStyle w:val="Akapitzlist"/>
        <w:jc w:val="both"/>
        <w:rPr>
          <w:rFonts w:asciiTheme="minorHAnsi" w:hAnsiTheme="minorHAnsi"/>
          <w:sz w:val="24"/>
          <w:szCs w:val="24"/>
        </w:rPr>
      </w:pPr>
      <w:r w:rsidRPr="001707E0">
        <w:rPr>
          <w:rFonts w:asciiTheme="minorHAnsi" w:hAnsiTheme="minorHAnsi"/>
          <w:sz w:val="24"/>
          <w:szCs w:val="24"/>
        </w:rPr>
        <w:t>Podjęte środki naprawcze – w przygotowanym rozporządzeniu w sprawie krajowej sieci obszarów wiejskich w ramach Programu Rozwoju Obszarów Wiejskich na lata 2014–2020 procedura</w:t>
      </w:r>
      <w:r w:rsidR="001707E0">
        <w:rPr>
          <w:rFonts w:asciiTheme="minorHAnsi" w:hAnsiTheme="minorHAnsi"/>
          <w:sz w:val="24"/>
          <w:szCs w:val="24"/>
        </w:rPr>
        <w:t xml:space="preserve"> </w:t>
      </w:r>
      <w:r w:rsidRPr="001707E0">
        <w:rPr>
          <w:rFonts w:asciiTheme="minorHAnsi" w:hAnsiTheme="minorHAnsi"/>
          <w:sz w:val="24"/>
          <w:szCs w:val="24"/>
        </w:rPr>
        <w:t>zmian</w:t>
      </w:r>
      <w:r w:rsidR="001707E0">
        <w:rPr>
          <w:rFonts w:asciiTheme="minorHAnsi" w:hAnsiTheme="minorHAnsi"/>
          <w:sz w:val="24"/>
          <w:szCs w:val="24"/>
        </w:rPr>
        <w:t xml:space="preserve"> </w:t>
      </w:r>
      <w:r w:rsidRPr="001707E0">
        <w:rPr>
          <w:rFonts w:asciiTheme="minorHAnsi" w:hAnsiTheme="minorHAnsi"/>
          <w:sz w:val="24"/>
          <w:szCs w:val="24"/>
        </w:rPr>
        <w:t xml:space="preserve">w PO została uproszczona (rozporządzenie weszło w życie 25 stycznia </w:t>
      </w:r>
      <w:r w:rsidR="001707E0">
        <w:rPr>
          <w:rFonts w:asciiTheme="minorHAnsi" w:hAnsiTheme="minorHAnsi"/>
          <w:sz w:val="24"/>
          <w:szCs w:val="24"/>
        </w:rPr>
        <w:br/>
      </w:r>
      <w:r w:rsidRPr="001707E0">
        <w:rPr>
          <w:rFonts w:asciiTheme="minorHAnsi" w:hAnsiTheme="minorHAnsi"/>
          <w:sz w:val="24"/>
          <w:szCs w:val="24"/>
        </w:rPr>
        <w:t>2017 r.)</w:t>
      </w:r>
    </w:p>
    <w:p w:rsidR="00393FA0" w:rsidRPr="001707E0" w:rsidRDefault="00051080" w:rsidP="00393FA0">
      <w:pPr>
        <w:pStyle w:val="Akapitzlist"/>
        <w:numPr>
          <w:ilvl w:val="0"/>
          <w:numId w:val="33"/>
        </w:numPr>
        <w:jc w:val="both"/>
        <w:rPr>
          <w:rFonts w:asciiTheme="minorHAnsi" w:hAnsiTheme="minorHAnsi"/>
          <w:sz w:val="24"/>
          <w:szCs w:val="24"/>
        </w:rPr>
      </w:pPr>
      <w:r w:rsidRPr="001707E0">
        <w:rPr>
          <w:rFonts w:asciiTheme="minorHAnsi" w:hAnsiTheme="minorHAnsi"/>
          <w:sz w:val="24"/>
          <w:szCs w:val="24"/>
        </w:rPr>
        <w:t xml:space="preserve">Brak rozporządzenia w sprawie szczegółowych warunków i trybu przyznawania oraz wypłaty Pomocy Technicznej w ramach PROW na lata 2014-2020, a co za tym idzie brak zakresu </w:t>
      </w:r>
      <w:r w:rsidR="001707E0">
        <w:rPr>
          <w:rFonts w:asciiTheme="minorHAnsi" w:hAnsiTheme="minorHAnsi"/>
          <w:sz w:val="24"/>
          <w:szCs w:val="24"/>
        </w:rPr>
        <w:br/>
      </w:r>
      <w:r w:rsidRPr="001707E0">
        <w:rPr>
          <w:rFonts w:asciiTheme="minorHAnsi" w:hAnsiTheme="minorHAnsi"/>
          <w:sz w:val="24"/>
          <w:szCs w:val="24"/>
        </w:rPr>
        <w:t xml:space="preserve">i maksymalnej wysokości kosztów kwalifikowalnych dla operacji realizowanych w PO KSOW 2014-2020, w tym zasad korzystania z zasobów własnych partnerów przy realizacji operacji np. zasoby kadrowe, hotele, catering, transport; rozliczania kosztów administracyjnych operacji (w tym osobowych); zakupu środków trwałych. </w:t>
      </w:r>
      <w:r w:rsidRPr="001707E0">
        <w:rPr>
          <w:rFonts w:asciiTheme="minorHAnsi" w:hAnsiTheme="minorHAnsi"/>
          <w:i/>
          <w:sz w:val="24"/>
          <w:szCs w:val="24"/>
        </w:rPr>
        <w:t>(lubelskie, lubuskie, łódzkie, mazowieckie, śląskie, wielkopolskie, zachodniopomorskie, SIR)</w:t>
      </w:r>
    </w:p>
    <w:p w:rsidR="00051080" w:rsidRPr="001707E0" w:rsidRDefault="00051080" w:rsidP="00393FA0">
      <w:pPr>
        <w:pStyle w:val="Akapitzlist"/>
        <w:jc w:val="both"/>
        <w:rPr>
          <w:rFonts w:asciiTheme="minorHAnsi" w:hAnsiTheme="minorHAnsi"/>
          <w:sz w:val="24"/>
          <w:szCs w:val="24"/>
        </w:rPr>
      </w:pPr>
      <w:r w:rsidRPr="001707E0">
        <w:rPr>
          <w:rFonts w:asciiTheme="minorHAnsi" w:hAnsiTheme="minorHAnsi"/>
          <w:sz w:val="24"/>
          <w:szCs w:val="24"/>
        </w:rPr>
        <w:t>Podjęte środki naprawcze – weszło w życie Rozporządzenie Ministra Rolnictwa i Rozwoju Wsi z dnia 20 września 2016 r. w sprawie szczegółowych warunków i trybu przyznawania oraz wypłaty pomocy technicznej w ramach Programu Rozwoju Obszarów Wiejskich na lata 2014–2020.</w:t>
      </w:r>
    </w:p>
    <w:p w:rsidR="00051080" w:rsidRPr="001707E0" w:rsidRDefault="00051080" w:rsidP="00051080">
      <w:pPr>
        <w:pStyle w:val="Akapitzlist"/>
        <w:numPr>
          <w:ilvl w:val="0"/>
          <w:numId w:val="33"/>
        </w:numPr>
        <w:jc w:val="both"/>
        <w:rPr>
          <w:rFonts w:asciiTheme="minorHAnsi" w:hAnsiTheme="minorHAnsi"/>
          <w:i/>
          <w:sz w:val="24"/>
          <w:szCs w:val="24"/>
        </w:rPr>
      </w:pPr>
      <w:r w:rsidRPr="001707E0">
        <w:rPr>
          <w:rFonts w:asciiTheme="minorHAnsi" w:hAnsiTheme="minorHAnsi"/>
          <w:sz w:val="24"/>
          <w:szCs w:val="24"/>
        </w:rPr>
        <w:t>Brak odpowiednich zapisów w dokumentach legislacyjnych tj. w Ustawie z dnia 20 lutego 2015 r.</w:t>
      </w:r>
      <w:r w:rsidR="001707E0">
        <w:rPr>
          <w:rFonts w:asciiTheme="minorHAnsi" w:hAnsiTheme="minorHAnsi"/>
          <w:sz w:val="24"/>
          <w:szCs w:val="24"/>
        </w:rPr>
        <w:t xml:space="preserve"> </w:t>
      </w:r>
      <w:r w:rsidRPr="001707E0">
        <w:rPr>
          <w:rFonts w:asciiTheme="minorHAnsi" w:hAnsiTheme="minorHAnsi"/>
          <w:sz w:val="24"/>
          <w:szCs w:val="24"/>
        </w:rPr>
        <w:t xml:space="preserve">o wspieraniu rozwoju obszarów wiejskich z udziałem środków Europejskiego Funduszu Rolnego na rzecz Rozwoju Obszarów Wiejskich w ramach Programu Rozwoju Obszarów Wiejskich na lata 2014-2020 (Dz.U. poz. 349) lub Rozporządzeniu Ministra </w:t>
      </w:r>
      <w:r w:rsidRPr="001707E0">
        <w:rPr>
          <w:rFonts w:asciiTheme="minorHAnsi" w:hAnsiTheme="minorHAnsi"/>
          <w:sz w:val="24"/>
          <w:szCs w:val="24"/>
        </w:rPr>
        <w:lastRenderedPageBreak/>
        <w:t xml:space="preserve">Rolnictwa i Rozwoju Wsi z dnia 30 września 2015 roku w sprawie funkcjonowania krajowej sieci obszarów wiejskich w ramach Programu Rozwoju Obszarów Wiejskich na lata 2014-2020 (Dz. U. z 2015 r., poz. 1552) dotyczących: </w:t>
      </w:r>
      <w:r w:rsidRPr="001707E0">
        <w:rPr>
          <w:rFonts w:asciiTheme="minorHAnsi" w:hAnsiTheme="minorHAnsi"/>
          <w:i/>
          <w:sz w:val="24"/>
          <w:szCs w:val="24"/>
        </w:rPr>
        <w:t>(lubelskie, podlaskie, pomorskie, warmińsko-mazurskie, wielkopolskie)</w:t>
      </w:r>
    </w:p>
    <w:p w:rsidR="00051080" w:rsidRPr="001707E0" w:rsidRDefault="00051080" w:rsidP="00051080">
      <w:pPr>
        <w:pStyle w:val="Akapitzlist"/>
        <w:numPr>
          <w:ilvl w:val="1"/>
          <w:numId w:val="33"/>
        </w:numPr>
        <w:jc w:val="both"/>
        <w:rPr>
          <w:rFonts w:asciiTheme="minorHAnsi" w:hAnsiTheme="minorHAnsi"/>
          <w:sz w:val="24"/>
          <w:szCs w:val="24"/>
        </w:rPr>
      </w:pPr>
      <w:r w:rsidRPr="001707E0">
        <w:rPr>
          <w:rFonts w:asciiTheme="minorHAnsi" w:hAnsiTheme="minorHAnsi"/>
          <w:sz w:val="24"/>
          <w:szCs w:val="24"/>
        </w:rPr>
        <w:t>procedury wyboru projektów do realizacji w ramach planu operacyjnego spełniającej wymagania trybu konkursowego;</w:t>
      </w:r>
    </w:p>
    <w:p w:rsidR="00051080" w:rsidRPr="001707E0" w:rsidRDefault="00051080" w:rsidP="00051080">
      <w:pPr>
        <w:pStyle w:val="Akapitzlist"/>
        <w:numPr>
          <w:ilvl w:val="1"/>
          <w:numId w:val="33"/>
        </w:numPr>
        <w:jc w:val="both"/>
        <w:rPr>
          <w:rFonts w:asciiTheme="minorHAnsi" w:hAnsiTheme="minorHAnsi"/>
          <w:sz w:val="24"/>
          <w:szCs w:val="24"/>
        </w:rPr>
      </w:pPr>
      <w:r w:rsidRPr="001707E0">
        <w:rPr>
          <w:rFonts w:asciiTheme="minorHAnsi" w:hAnsiTheme="minorHAnsi"/>
          <w:sz w:val="24"/>
          <w:szCs w:val="24"/>
        </w:rPr>
        <w:t xml:space="preserve">formy przekazywania partnerom KSOW środków finansowych na realizację operacji. Z uwagi na fakt, że realizacja KSOW jest zadaniem delegowanym SW, a środki przeznaczone na ten cel stanowią dotację celową, wydatkowanie ich możliwe jest jedynie w formie: </w:t>
      </w:r>
    </w:p>
    <w:p w:rsidR="00051080" w:rsidRPr="001707E0" w:rsidRDefault="00051080" w:rsidP="00051080">
      <w:pPr>
        <w:pStyle w:val="Akapitzlist"/>
        <w:numPr>
          <w:ilvl w:val="2"/>
          <w:numId w:val="33"/>
        </w:numPr>
        <w:jc w:val="both"/>
        <w:rPr>
          <w:rFonts w:asciiTheme="minorHAnsi" w:hAnsiTheme="minorHAnsi"/>
          <w:sz w:val="24"/>
          <w:szCs w:val="24"/>
        </w:rPr>
      </w:pPr>
      <w:r w:rsidRPr="001707E0">
        <w:rPr>
          <w:rFonts w:asciiTheme="minorHAnsi" w:hAnsiTheme="minorHAnsi"/>
          <w:sz w:val="24"/>
          <w:szCs w:val="24"/>
        </w:rPr>
        <w:t>zamówień publicznych udzielanych przez poszczególne samorządy województw,</w:t>
      </w:r>
    </w:p>
    <w:p w:rsidR="00051080" w:rsidRPr="001707E0" w:rsidRDefault="00051080" w:rsidP="00051080">
      <w:pPr>
        <w:pStyle w:val="Akapitzlist"/>
        <w:numPr>
          <w:ilvl w:val="2"/>
          <w:numId w:val="33"/>
        </w:numPr>
        <w:jc w:val="both"/>
        <w:rPr>
          <w:rFonts w:asciiTheme="minorHAnsi" w:hAnsiTheme="minorHAnsi"/>
          <w:sz w:val="24"/>
          <w:szCs w:val="24"/>
        </w:rPr>
      </w:pPr>
      <w:r w:rsidRPr="001707E0">
        <w:rPr>
          <w:rFonts w:asciiTheme="minorHAnsi" w:hAnsiTheme="minorHAnsi"/>
          <w:sz w:val="24"/>
          <w:szCs w:val="24"/>
        </w:rPr>
        <w:t>na podstawie art.219 ust.2 ustawy o finansach publicznych poprzez udzielenie dotacji przedmiotowej, jeśli odrębne przepisy tak stanowią;</w:t>
      </w:r>
    </w:p>
    <w:p w:rsidR="00051080" w:rsidRPr="001707E0" w:rsidRDefault="00051080" w:rsidP="00051080">
      <w:pPr>
        <w:pStyle w:val="Akapitzlist"/>
        <w:numPr>
          <w:ilvl w:val="1"/>
          <w:numId w:val="33"/>
        </w:numPr>
        <w:jc w:val="both"/>
        <w:rPr>
          <w:rFonts w:asciiTheme="minorHAnsi" w:hAnsiTheme="minorHAnsi"/>
          <w:sz w:val="24"/>
          <w:szCs w:val="24"/>
        </w:rPr>
      </w:pPr>
      <w:r w:rsidRPr="001707E0">
        <w:rPr>
          <w:rFonts w:asciiTheme="minorHAnsi" w:hAnsiTheme="minorHAnsi"/>
          <w:sz w:val="24"/>
          <w:szCs w:val="24"/>
        </w:rPr>
        <w:t>wobec braku odpowiednich zapisów w ustawie z 20 lutego 2015 r. o wspieraniu rozwoju obszarów wiejskich z udziałem EFROW w ramach PROW na lata 2014-2020 udzielanie dotacji podmiotom realizującym operacje w ramach KSOW zdaniem niektórych SW jest niemożliwe;</w:t>
      </w:r>
    </w:p>
    <w:p w:rsidR="00051080" w:rsidRPr="001707E0" w:rsidRDefault="00051080" w:rsidP="00051080">
      <w:pPr>
        <w:pStyle w:val="Akapitzlist"/>
        <w:numPr>
          <w:ilvl w:val="1"/>
          <w:numId w:val="33"/>
        </w:numPr>
        <w:jc w:val="both"/>
        <w:rPr>
          <w:rFonts w:asciiTheme="minorHAnsi" w:hAnsiTheme="minorHAnsi"/>
          <w:sz w:val="24"/>
          <w:szCs w:val="24"/>
        </w:rPr>
      </w:pPr>
      <w:r w:rsidRPr="001707E0">
        <w:rPr>
          <w:rFonts w:asciiTheme="minorHAnsi" w:hAnsiTheme="minorHAnsi"/>
          <w:sz w:val="24"/>
          <w:szCs w:val="24"/>
        </w:rPr>
        <w:t xml:space="preserve">dozwolonego współfinansowania projektów realizowanych przez partnerów KSOW </w:t>
      </w:r>
      <w:r w:rsidR="001707E0">
        <w:rPr>
          <w:rFonts w:asciiTheme="minorHAnsi" w:hAnsiTheme="minorHAnsi"/>
          <w:sz w:val="24"/>
          <w:szCs w:val="24"/>
        </w:rPr>
        <w:br/>
      </w:r>
      <w:r w:rsidRPr="001707E0">
        <w:rPr>
          <w:rFonts w:asciiTheme="minorHAnsi" w:hAnsiTheme="minorHAnsi"/>
          <w:sz w:val="24"/>
          <w:szCs w:val="24"/>
        </w:rPr>
        <w:t>z innych środków publicznych;</w:t>
      </w:r>
    </w:p>
    <w:p w:rsidR="00051080" w:rsidRPr="001707E0" w:rsidRDefault="00051080" w:rsidP="00051080">
      <w:pPr>
        <w:pStyle w:val="Akapitzlist"/>
        <w:numPr>
          <w:ilvl w:val="1"/>
          <w:numId w:val="33"/>
        </w:numPr>
        <w:jc w:val="both"/>
        <w:rPr>
          <w:rFonts w:asciiTheme="minorHAnsi" w:hAnsiTheme="minorHAnsi"/>
          <w:sz w:val="24"/>
          <w:szCs w:val="24"/>
        </w:rPr>
      </w:pPr>
      <w:r w:rsidRPr="001707E0">
        <w:rPr>
          <w:rFonts w:asciiTheme="minorHAnsi" w:hAnsiTheme="minorHAnsi"/>
          <w:sz w:val="24"/>
          <w:szCs w:val="24"/>
        </w:rPr>
        <w:t>wskazania czy realizacja przez partnera/wnioskodawcę projektu jest pomocą publiczną.</w:t>
      </w:r>
    </w:p>
    <w:p w:rsidR="00051080" w:rsidRPr="001707E0" w:rsidRDefault="00051080" w:rsidP="00051080">
      <w:pPr>
        <w:pStyle w:val="Akapitzlist"/>
        <w:jc w:val="both"/>
        <w:rPr>
          <w:rFonts w:asciiTheme="minorHAnsi" w:hAnsiTheme="minorHAnsi"/>
          <w:sz w:val="24"/>
          <w:szCs w:val="24"/>
        </w:rPr>
      </w:pPr>
      <w:r w:rsidRPr="001707E0">
        <w:rPr>
          <w:rFonts w:asciiTheme="minorHAnsi" w:hAnsiTheme="minorHAnsi"/>
          <w:sz w:val="24"/>
          <w:szCs w:val="24"/>
        </w:rPr>
        <w:t xml:space="preserve">Podjęte środki naprawcze </w:t>
      </w:r>
      <w:r w:rsidR="00B2284F">
        <w:rPr>
          <w:rFonts w:asciiTheme="minorHAnsi" w:hAnsiTheme="minorHAnsi"/>
          <w:sz w:val="24"/>
          <w:szCs w:val="24"/>
        </w:rPr>
        <w:t>–</w:t>
      </w:r>
      <w:r w:rsidRPr="001707E0">
        <w:rPr>
          <w:rFonts w:asciiTheme="minorHAnsi" w:hAnsiTheme="minorHAnsi"/>
          <w:sz w:val="24"/>
          <w:szCs w:val="24"/>
        </w:rPr>
        <w:t xml:space="preserve"> </w:t>
      </w:r>
      <w:r w:rsidR="00B2284F">
        <w:rPr>
          <w:rFonts w:asciiTheme="minorHAnsi" w:hAnsiTheme="minorHAnsi"/>
          <w:sz w:val="24"/>
          <w:szCs w:val="24"/>
        </w:rPr>
        <w:t>wejście w życie ustawy</w:t>
      </w:r>
      <w:r w:rsidRPr="001707E0">
        <w:rPr>
          <w:rFonts w:asciiTheme="minorHAnsi" w:hAnsiTheme="minorHAnsi"/>
          <w:sz w:val="24"/>
          <w:szCs w:val="24"/>
        </w:rPr>
        <w:t xml:space="preserve"> z dnia 15 grudnia 2016 r. o zmianie ustawy o wspieraniu rozwoju obszarów wiejskich z udziałem środków Europejskiego Funduszu Rolnego na rzecz Rozwoju Obszarów Wiejskich w ramach Programu Rozwoju Obszarów Wiejskich na lata 2014–2020 oraz niektórych innych ustaw.</w:t>
      </w:r>
    </w:p>
    <w:p w:rsidR="00051080" w:rsidRPr="001707E0" w:rsidRDefault="00051080" w:rsidP="00051080">
      <w:pPr>
        <w:pStyle w:val="Akapitzlist"/>
        <w:numPr>
          <w:ilvl w:val="0"/>
          <w:numId w:val="33"/>
        </w:numPr>
        <w:jc w:val="both"/>
        <w:rPr>
          <w:rFonts w:asciiTheme="minorHAnsi" w:hAnsiTheme="minorHAnsi"/>
          <w:i/>
          <w:sz w:val="24"/>
          <w:szCs w:val="24"/>
        </w:rPr>
      </w:pPr>
      <w:r w:rsidRPr="001707E0">
        <w:rPr>
          <w:rFonts w:asciiTheme="minorHAnsi" w:hAnsiTheme="minorHAnsi"/>
          <w:sz w:val="24"/>
          <w:szCs w:val="24"/>
        </w:rPr>
        <w:t xml:space="preserve">Brak możliwości ogłoszenia w 2016 roku naboru projektów partnerów sieci do realizacji </w:t>
      </w:r>
      <w:r w:rsidR="001707E0">
        <w:rPr>
          <w:rFonts w:asciiTheme="minorHAnsi" w:hAnsiTheme="minorHAnsi"/>
          <w:sz w:val="24"/>
          <w:szCs w:val="24"/>
        </w:rPr>
        <w:br/>
      </w:r>
      <w:r w:rsidRPr="001707E0">
        <w:rPr>
          <w:rFonts w:asciiTheme="minorHAnsi" w:hAnsiTheme="minorHAnsi"/>
          <w:sz w:val="24"/>
          <w:szCs w:val="24"/>
        </w:rPr>
        <w:t xml:space="preserve">w roku 2017, co wprowadziło duże ograniczenia czasowe, tj. zbyt krótki termin </w:t>
      </w:r>
      <w:r w:rsidR="00A01CAC">
        <w:rPr>
          <w:rFonts w:asciiTheme="minorHAnsi" w:hAnsiTheme="minorHAnsi"/>
          <w:sz w:val="24"/>
          <w:szCs w:val="24"/>
        </w:rPr>
        <w:br/>
      </w:r>
      <w:r w:rsidRPr="001707E0">
        <w:rPr>
          <w:rFonts w:asciiTheme="minorHAnsi" w:hAnsiTheme="minorHAnsi"/>
          <w:sz w:val="24"/>
          <w:szCs w:val="24"/>
        </w:rPr>
        <w:t xml:space="preserve">na przygotowanie wniosków przez partnerów sieci i rozstrzygniecie konkursu </w:t>
      </w:r>
      <w:r w:rsidRPr="001707E0">
        <w:rPr>
          <w:rFonts w:asciiTheme="minorHAnsi" w:hAnsiTheme="minorHAnsi"/>
          <w:i/>
          <w:sz w:val="24"/>
          <w:szCs w:val="24"/>
        </w:rPr>
        <w:t>(lubuskie, łódzkie, podkarpackie, śląskie)</w:t>
      </w:r>
    </w:p>
    <w:p w:rsidR="00051080" w:rsidRPr="001707E0" w:rsidRDefault="00051080" w:rsidP="00051080">
      <w:pPr>
        <w:pStyle w:val="Akapitzlist"/>
        <w:numPr>
          <w:ilvl w:val="0"/>
          <w:numId w:val="33"/>
        </w:numPr>
        <w:jc w:val="both"/>
        <w:rPr>
          <w:rFonts w:asciiTheme="minorHAnsi" w:hAnsiTheme="minorHAnsi"/>
          <w:sz w:val="24"/>
          <w:szCs w:val="24"/>
        </w:rPr>
      </w:pPr>
      <w:r w:rsidRPr="001707E0">
        <w:rPr>
          <w:rFonts w:asciiTheme="minorHAnsi" w:hAnsiTheme="minorHAnsi"/>
          <w:sz w:val="24"/>
          <w:szCs w:val="24"/>
        </w:rPr>
        <w:t xml:space="preserve">Niejednolite/ niespójne zasady sprawozdawczości oraz ograniczony czas na przekazywanie danych do IZ (przesyłanie przez jednostkę centralną zestawień z kolejnymi danymi koniecznymi do wypełniania tabel, których nie żądano poprzednio, brak jednolitej i spójnej instrukcji wypełniania sprawozdań). </w:t>
      </w:r>
      <w:r w:rsidRPr="001707E0">
        <w:rPr>
          <w:rFonts w:asciiTheme="minorHAnsi" w:hAnsiTheme="minorHAnsi"/>
          <w:i/>
          <w:sz w:val="24"/>
          <w:szCs w:val="24"/>
        </w:rPr>
        <w:t>(pomorskie)</w:t>
      </w:r>
    </w:p>
    <w:p w:rsidR="00051080" w:rsidRPr="001707E0" w:rsidRDefault="00051080" w:rsidP="00051080">
      <w:pPr>
        <w:pStyle w:val="Akapitzlist"/>
        <w:jc w:val="both"/>
        <w:rPr>
          <w:rFonts w:asciiTheme="minorHAnsi" w:hAnsiTheme="minorHAnsi"/>
          <w:sz w:val="24"/>
          <w:szCs w:val="24"/>
        </w:rPr>
      </w:pPr>
      <w:r w:rsidRPr="001707E0">
        <w:rPr>
          <w:rFonts w:asciiTheme="minorHAnsi" w:hAnsiTheme="minorHAnsi"/>
          <w:sz w:val="24"/>
          <w:szCs w:val="24"/>
        </w:rPr>
        <w:t xml:space="preserve">Podjęte środki </w:t>
      </w:r>
      <w:r w:rsidR="00B2284F">
        <w:rPr>
          <w:rFonts w:asciiTheme="minorHAnsi" w:hAnsiTheme="minorHAnsi"/>
          <w:sz w:val="24"/>
          <w:szCs w:val="24"/>
        </w:rPr>
        <w:t xml:space="preserve">naprawcze – w sierpniu 2016 r. </w:t>
      </w:r>
      <w:r w:rsidRPr="001707E0">
        <w:rPr>
          <w:rFonts w:asciiTheme="minorHAnsi" w:hAnsiTheme="minorHAnsi"/>
          <w:sz w:val="24"/>
          <w:szCs w:val="24"/>
        </w:rPr>
        <w:t>opracowano instrukcje do wszystkich sprawozdań.</w:t>
      </w:r>
    </w:p>
    <w:p w:rsidR="00051080" w:rsidRPr="001707E0" w:rsidRDefault="00051080" w:rsidP="00051080">
      <w:pPr>
        <w:pStyle w:val="Akapitzlist"/>
        <w:numPr>
          <w:ilvl w:val="0"/>
          <w:numId w:val="33"/>
        </w:numPr>
        <w:spacing w:after="160" w:line="259" w:lineRule="auto"/>
        <w:jc w:val="both"/>
        <w:rPr>
          <w:rFonts w:asciiTheme="minorHAnsi" w:hAnsiTheme="minorHAnsi"/>
          <w:sz w:val="24"/>
          <w:szCs w:val="24"/>
        </w:rPr>
      </w:pPr>
      <w:r w:rsidRPr="001707E0">
        <w:rPr>
          <w:rFonts w:asciiTheme="minorHAnsi" w:hAnsiTheme="minorHAnsi"/>
          <w:sz w:val="24"/>
          <w:szCs w:val="24"/>
        </w:rPr>
        <w:t xml:space="preserve">Zbyt mała kwota przeznaczona na funkcjonowanie SIR (obecnie dostępne środki nie są </w:t>
      </w:r>
      <w:r w:rsidR="001707E0">
        <w:rPr>
          <w:rFonts w:asciiTheme="minorHAnsi" w:hAnsiTheme="minorHAnsi"/>
          <w:sz w:val="24"/>
          <w:szCs w:val="24"/>
        </w:rPr>
        <w:br/>
      </w:r>
      <w:r w:rsidRPr="001707E0">
        <w:rPr>
          <w:rFonts w:asciiTheme="minorHAnsi" w:hAnsiTheme="minorHAnsi"/>
          <w:sz w:val="24"/>
          <w:szCs w:val="24"/>
        </w:rPr>
        <w:t xml:space="preserve">w stanie pokryć kosztów związanych z wynagrodzeniem pracowników wykonujących zadania na rzecz SIR, delegacjami, zakupem materiałów biurowych, utrzymaniem biura itp. do końca okresu programowania tj. czerwca 2023 r.). Zbyt mała liczba etatów zaplanowanych </w:t>
      </w:r>
      <w:r w:rsidR="00A01CAC">
        <w:rPr>
          <w:rFonts w:asciiTheme="minorHAnsi" w:hAnsiTheme="minorHAnsi"/>
          <w:sz w:val="24"/>
          <w:szCs w:val="24"/>
        </w:rPr>
        <w:br/>
      </w:r>
      <w:r w:rsidRPr="001707E0">
        <w:rPr>
          <w:rFonts w:asciiTheme="minorHAnsi" w:hAnsiTheme="minorHAnsi"/>
          <w:sz w:val="24"/>
          <w:szCs w:val="24"/>
        </w:rPr>
        <w:t>na realizację zadań SIR tj. 2. Na podstawie dwulet</w:t>
      </w:r>
      <w:r w:rsidR="001707E0">
        <w:rPr>
          <w:rFonts w:asciiTheme="minorHAnsi" w:hAnsiTheme="minorHAnsi"/>
          <w:sz w:val="24"/>
          <w:szCs w:val="24"/>
        </w:rPr>
        <w:t>nich doświadczeń związanych z w</w:t>
      </w:r>
      <w:r w:rsidRPr="001707E0">
        <w:rPr>
          <w:rFonts w:asciiTheme="minorHAnsi" w:hAnsiTheme="minorHAnsi"/>
          <w:sz w:val="24"/>
          <w:szCs w:val="24"/>
        </w:rPr>
        <w:t>w</w:t>
      </w:r>
      <w:r w:rsidR="001707E0">
        <w:rPr>
          <w:rFonts w:asciiTheme="minorHAnsi" w:hAnsiTheme="minorHAnsi"/>
          <w:sz w:val="24"/>
          <w:szCs w:val="24"/>
        </w:rPr>
        <w:t>.</w:t>
      </w:r>
      <w:r w:rsidRPr="001707E0">
        <w:rPr>
          <w:rFonts w:asciiTheme="minorHAnsi" w:hAnsiTheme="minorHAnsi"/>
          <w:sz w:val="24"/>
          <w:szCs w:val="24"/>
        </w:rPr>
        <w:t xml:space="preserve"> zadaniami zarówno CDR jaki i WODR nie są w stanie wypełnić wszystkich obowiązków </w:t>
      </w:r>
      <w:r w:rsidRPr="001707E0">
        <w:rPr>
          <w:rFonts w:asciiTheme="minorHAnsi" w:hAnsiTheme="minorHAnsi"/>
          <w:sz w:val="24"/>
          <w:szCs w:val="24"/>
        </w:rPr>
        <w:lastRenderedPageBreak/>
        <w:t xml:space="preserve">nałożonych rozporządzeniem o KSOW jeśli na realizację tych zadań przeznaczone są tylko </w:t>
      </w:r>
      <w:r w:rsidR="001707E0">
        <w:rPr>
          <w:rFonts w:asciiTheme="minorHAnsi" w:hAnsiTheme="minorHAnsi"/>
          <w:sz w:val="24"/>
          <w:szCs w:val="24"/>
        </w:rPr>
        <w:br/>
      </w:r>
      <w:r w:rsidRPr="001707E0">
        <w:rPr>
          <w:rFonts w:asciiTheme="minorHAnsi" w:hAnsiTheme="minorHAnsi"/>
          <w:sz w:val="24"/>
          <w:szCs w:val="24"/>
        </w:rPr>
        <w:t xml:space="preserve">2 etaty.  Pracownicy poświęcają czas przede wszystkim na wypełnianie comiesięcznych monitoringów i sprawozdań, a także na kontrolę dokumentacji związanej z realizacją dwuletnich Planów Operacyjnych. Nie są natomiast w stanie skupić się na pracy w terenie </w:t>
      </w:r>
      <w:r w:rsidR="001707E0">
        <w:rPr>
          <w:rFonts w:asciiTheme="minorHAnsi" w:hAnsiTheme="minorHAnsi"/>
          <w:sz w:val="24"/>
          <w:szCs w:val="24"/>
        </w:rPr>
        <w:br/>
      </w:r>
      <w:r w:rsidRPr="001707E0">
        <w:rPr>
          <w:rFonts w:asciiTheme="minorHAnsi" w:hAnsiTheme="minorHAnsi"/>
          <w:sz w:val="24"/>
          <w:szCs w:val="24"/>
        </w:rPr>
        <w:t xml:space="preserve">tj. identyfikacji problemów w rolnictwie, leśnictwie, przetwórstwie i na obszarach wiejskich, które wymagają wdrożenia innowacyjnych rozwiązań, identyfikację i promocję już wdrożonych innowacji, aktywizację potencjalnych partnerów, promocję Sieci itp.  </w:t>
      </w:r>
      <w:r w:rsidRPr="001707E0">
        <w:rPr>
          <w:rFonts w:asciiTheme="minorHAnsi" w:hAnsiTheme="minorHAnsi"/>
          <w:i/>
          <w:sz w:val="24"/>
          <w:szCs w:val="24"/>
        </w:rPr>
        <w:t>(SIR)</w:t>
      </w:r>
    </w:p>
    <w:p w:rsidR="00051080" w:rsidRPr="001707E0" w:rsidRDefault="00051080" w:rsidP="00051080">
      <w:pPr>
        <w:pStyle w:val="Akapitzlist"/>
        <w:spacing w:after="160" w:line="259" w:lineRule="auto"/>
        <w:jc w:val="both"/>
        <w:rPr>
          <w:rFonts w:asciiTheme="minorHAnsi" w:hAnsiTheme="minorHAnsi"/>
          <w:sz w:val="24"/>
          <w:szCs w:val="24"/>
        </w:rPr>
      </w:pPr>
      <w:r w:rsidRPr="001707E0">
        <w:rPr>
          <w:rFonts w:asciiTheme="minorHAnsi" w:hAnsiTheme="minorHAnsi"/>
          <w:sz w:val="24"/>
          <w:szCs w:val="24"/>
        </w:rPr>
        <w:t xml:space="preserve">Podjęte środki naprawcze – IZ wystąpiła do KE o zwiększenie dostępnego limitu pomocy technicznej w ramach PROW 2014-2020. </w:t>
      </w:r>
    </w:p>
    <w:p w:rsidR="00051080" w:rsidRPr="001707E0" w:rsidRDefault="00051080" w:rsidP="00051080">
      <w:pPr>
        <w:pStyle w:val="Akapitzlist"/>
        <w:numPr>
          <w:ilvl w:val="0"/>
          <w:numId w:val="33"/>
        </w:numPr>
        <w:jc w:val="both"/>
        <w:rPr>
          <w:rFonts w:asciiTheme="minorHAnsi" w:hAnsiTheme="minorHAnsi"/>
          <w:sz w:val="24"/>
          <w:szCs w:val="24"/>
        </w:rPr>
      </w:pPr>
      <w:r w:rsidRPr="001707E0">
        <w:rPr>
          <w:rFonts w:asciiTheme="minorHAnsi" w:hAnsiTheme="minorHAnsi"/>
          <w:sz w:val="24"/>
          <w:szCs w:val="24"/>
        </w:rPr>
        <w:t xml:space="preserve">Brak możliwości wydatkowania zaoszczędzonych środków w danym roku kalendarzowym. Problem związany jest z tym, że plany finansowe Ośrodków Doradztwa Rolniczego na dany rok są tworzone w połowie roku poprzedzającego. W związku z powyższym wydatki na SIR na rok 2016 zostały zaplanowane w połowie roku 2015 kiedy to nie były znane wytyczne dotyczące realizacji zadań na rzecz SIR oraz pomocy technicznej m.in. przyznane limity pomocy technicznej oraz obowiązujące proporcje pomiędzy wydatkami na funkcjonowanie oraz realizację dwuletnich Planów Operacyjnych. Skutkowało to zaplanowaniem większej kwoty na tzw. funkcjonowanie niż Ośrodki były w stanie wydać. Jednak aby dokonać przesunięcia środków z funkcjonowania na realizację operacji niezbędne jest sporządzenie korekty planu finansowego oraz jej akceptacja przez Departament Finansów MRiRW. </w:t>
      </w:r>
      <w:r w:rsidR="001707E0">
        <w:rPr>
          <w:rFonts w:asciiTheme="minorHAnsi" w:hAnsiTheme="minorHAnsi"/>
          <w:sz w:val="24"/>
          <w:szCs w:val="24"/>
        </w:rPr>
        <w:br/>
      </w:r>
      <w:r w:rsidRPr="001707E0">
        <w:rPr>
          <w:rFonts w:asciiTheme="minorHAnsi" w:hAnsiTheme="minorHAnsi"/>
          <w:sz w:val="24"/>
          <w:szCs w:val="24"/>
        </w:rPr>
        <w:t xml:space="preserve">W niektórych przypadkach ta procedura trwała bardzo długo i nie zawsze kończyła się akceptacją DF. Skutkowało to koniecznością zwrócenia części dotacji, która mogłaby być przeznaczona na realizację większej liczby projektów. </w:t>
      </w:r>
      <w:r w:rsidRPr="001707E0">
        <w:rPr>
          <w:rFonts w:asciiTheme="minorHAnsi" w:hAnsiTheme="minorHAnsi"/>
          <w:i/>
          <w:sz w:val="24"/>
          <w:szCs w:val="24"/>
        </w:rPr>
        <w:t>(SIR)</w:t>
      </w:r>
    </w:p>
    <w:p w:rsidR="00051080" w:rsidRPr="001707E0" w:rsidRDefault="00051080" w:rsidP="00051080">
      <w:pPr>
        <w:pStyle w:val="Akapitzlist"/>
        <w:numPr>
          <w:ilvl w:val="0"/>
          <w:numId w:val="33"/>
        </w:numPr>
        <w:jc w:val="both"/>
        <w:rPr>
          <w:rFonts w:asciiTheme="minorHAnsi" w:hAnsiTheme="minorHAnsi"/>
          <w:sz w:val="24"/>
          <w:szCs w:val="24"/>
        </w:rPr>
      </w:pPr>
      <w:r w:rsidRPr="001707E0">
        <w:rPr>
          <w:rFonts w:asciiTheme="minorHAnsi" w:hAnsiTheme="minorHAnsi"/>
          <w:sz w:val="24"/>
          <w:szCs w:val="24"/>
        </w:rPr>
        <w:t xml:space="preserve">Późne podpisanie umów dotacyjnych spowodowało w wielu WODR wstrzymanie się </w:t>
      </w:r>
      <w:r w:rsidR="001707E0">
        <w:rPr>
          <w:rFonts w:asciiTheme="minorHAnsi" w:hAnsiTheme="minorHAnsi"/>
          <w:sz w:val="24"/>
          <w:szCs w:val="24"/>
        </w:rPr>
        <w:br/>
      </w:r>
      <w:r w:rsidRPr="001707E0">
        <w:rPr>
          <w:rFonts w:asciiTheme="minorHAnsi" w:hAnsiTheme="minorHAnsi"/>
          <w:sz w:val="24"/>
          <w:szCs w:val="24"/>
        </w:rPr>
        <w:t xml:space="preserve">z realizacją operacji, tj. przeniesienie jej w czasie bądź całkowitej rezygnacji z wykonania. Ośrodki musiałyby zainwestować pieniądze ze środków własnych. </w:t>
      </w:r>
      <w:r w:rsidRPr="001707E0">
        <w:rPr>
          <w:rFonts w:asciiTheme="minorHAnsi" w:hAnsiTheme="minorHAnsi"/>
          <w:i/>
          <w:sz w:val="24"/>
          <w:szCs w:val="24"/>
        </w:rPr>
        <w:t>(SIR)</w:t>
      </w:r>
    </w:p>
    <w:p w:rsidR="00051080" w:rsidRPr="001707E0" w:rsidRDefault="00051080" w:rsidP="00051080">
      <w:pPr>
        <w:pStyle w:val="Akapitzlist"/>
        <w:numPr>
          <w:ilvl w:val="0"/>
          <w:numId w:val="33"/>
        </w:numPr>
        <w:jc w:val="both"/>
        <w:rPr>
          <w:rFonts w:asciiTheme="minorHAnsi" w:hAnsiTheme="minorHAnsi"/>
          <w:sz w:val="24"/>
          <w:szCs w:val="24"/>
        </w:rPr>
      </w:pPr>
      <w:r w:rsidRPr="001707E0">
        <w:rPr>
          <w:rFonts w:asciiTheme="minorHAnsi" w:hAnsiTheme="minorHAnsi"/>
          <w:sz w:val="24"/>
          <w:szCs w:val="24"/>
        </w:rPr>
        <w:t xml:space="preserve">Kwestie proceduralne, wynikające ze zmian warunków realizacji zamówień publicznych  (warunki wyboru wykonawcy w ramach zapytania ofertowego), które przyczyniły się do konieczności zwiększenia nakładów czasu pracy i zaangażowania związanego </w:t>
      </w:r>
      <w:r w:rsidR="001707E0">
        <w:rPr>
          <w:rFonts w:asciiTheme="minorHAnsi" w:hAnsiTheme="minorHAnsi"/>
          <w:sz w:val="24"/>
          <w:szCs w:val="24"/>
        </w:rPr>
        <w:br/>
      </w:r>
      <w:r w:rsidRPr="001707E0">
        <w:rPr>
          <w:rFonts w:asciiTheme="minorHAnsi" w:hAnsiTheme="minorHAnsi"/>
          <w:sz w:val="24"/>
          <w:szCs w:val="24"/>
        </w:rPr>
        <w:t>z gromadzeniem dokumentacji niezbędnej do uruchomienia działań. Niemniej jednak bardzo dużym problemem, który zdeterminował realizację projektów w 2016 r., był aspekt zewnętrzny. Po zakończeniu procedur dot. wyboru wykonawców w kilku przypadkach wyłonieni Wykonawcy odstąpili od podpisania umowy na realizację działań w ramach Planu Operacyjnego KSOW, w tym również w ramach działania przewidzianego w Planie Komunikacyjnym. Co więcej, w ramach działania z Planu Komunikacyjnego, to Ministerstwo Rolnictwa i Rozwoju Wsi odstąpiło od umowy, z uwagi na zwłokę w wykonaniu przedmiotu umowy.</w:t>
      </w:r>
      <w:r w:rsidRPr="001707E0">
        <w:rPr>
          <w:rFonts w:asciiTheme="minorHAnsi" w:hAnsiTheme="minorHAnsi"/>
          <w:i/>
          <w:sz w:val="24"/>
          <w:szCs w:val="24"/>
        </w:rPr>
        <w:t xml:space="preserve"> (IZ)</w:t>
      </w:r>
    </w:p>
    <w:p w:rsidR="00051080" w:rsidRDefault="00051080" w:rsidP="001707E0">
      <w:pPr>
        <w:ind w:left="426"/>
        <w:jc w:val="both"/>
        <w:rPr>
          <w:rFonts w:asciiTheme="minorHAnsi" w:hAnsiTheme="minorHAnsi"/>
          <w:sz w:val="24"/>
          <w:szCs w:val="24"/>
        </w:rPr>
      </w:pPr>
      <w:r w:rsidRPr="001707E0">
        <w:rPr>
          <w:rFonts w:asciiTheme="minorHAnsi" w:hAnsiTheme="minorHAnsi"/>
          <w:sz w:val="24"/>
          <w:szCs w:val="24"/>
        </w:rPr>
        <w:t>W przypadku jednostek regionalnych województwa kujawsko-pomorskiego, małopolskiego,  opolskiego, świętokrzyskiego oraz Agencji Restrukturyzacji i Modernizacji Rolnictwa i Agencji Rozwoju Regionalnego w okresie sprawozdawczym nie napotkano znaczących problemów podczas zarządzania KSOW.</w:t>
      </w:r>
    </w:p>
    <w:p w:rsidR="00A53B28" w:rsidRPr="001707E0" w:rsidRDefault="00A53B28" w:rsidP="001707E0">
      <w:pPr>
        <w:ind w:left="426"/>
        <w:jc w:val="both"/>
        <w:rPr>
          <w:rFonts w:asciiTheme="minorHAnsi" w:hAnsiTheme="minorHAnsi"/>
          <w:sz w:val="24"/>
          <w:szCs w:val="24"/>
        </w:rPr>
      </w:pPr>
    </w:p>
    <w:p w:rsidR="0011480F" w:rsidRDefault="00AE73BE" w:rsidP="00051080">
      <w:pPr>
        <w:pStyle w:val="Akapitzlist"/>
        <w:numPr>
          <w:ilvl w:val="0"/>
          <w:numId w:val="29"/>
        </w:numPr>
        <w:tabs>
          <w:tab w:val="clear" w:pos="720"/>
          <w:tab w:val="num" w:pos="426"/>
        </w:tabs>
        <w:spacing w:line="360" w:lineRule="auto"/>
        <w:ind w:left="426"/>
        <w:jc w:val="both"/>
        <w:rPr>
          <w:rFonts w:ascii="Times New Roman" w:hAnsi="Times New Roman"/>
          <w:i/>
          <w:sz w:val="24"/>
          <w:szCs w:val="24"/>
        </w:rPr>
      </w:pPr>
      <w:r w:rsidRPr="00AE73BE">
        <w:rPr>
          <w:rFonts w:ascii="Times New Roman" w:hAnsi="Times New Roman"/>
          <w:b/>
          <w:sz w:val="24"/>
          <w:szCs w:val="24"/>
        </w:rPr>
        <w:lastRenderedPageBreak/>
        <w:t xml:space="preserve">KROKI PODJĘTE W CELU ZAPEWNIENIA UPOWSZECHNIANIA PROGRAMU </w:t>
      </w:r>
      <w:r>
        <w:rPr>
          <w:rFonts w:ascii="Times New Roman" w:hAnsi="Times New Roman"/>
          <w:b/>
          <w:sz w:val="24"/>
          <w:szCs w:val="24"/>
        </w:rPr>
        <w:t xml:space="preserve"> </w:t>
      </w:r>
      <w:r w:rsidR="0011480F" w:rsidRPr="00AE73BE">
        <w:rPr>
          <w:rFonts w:ascii="Times New Roman" w:hAnsi="Times New Roman"/>
          <w:i/>
          <w:sz w:val="24"/>
          <w:szCs w:val="24"/>
        </w:rPr>
        <w:t>(zgodnie z art. 66 ust. 1, lit. i rozporządzenia 1305/2013)</w:t>
      </w:r>
    </w:p>
    <w:p w:rsidR="009809C8" w:rsidRPr="009809C8" w:rsidRDefault="009809C8" w:rsidP="009809C8">
      <w:pPr>
        <w:pStyle w:val="Akapitzlist"/>
        <w:ind w:left="426"/>
        <w:contextualSpacing w:val="0"/>
        <w:jc w:val="both"/>
        <w:rPr>
          <w:rFonts w:asciiTheme="minorHAnsi" w:hAnsiTheme="minorHAnsi"/>
          <w:sz w:val="24"/>
          <w:szCs w:val="24"/>
        </w:rPr>
      </w:pPr>
      <w:r w:rsidRPr="009809C8">
        <w:rPr>
          <w:rFonts w:asciiTheme="minorHAnsi" w:hAnsiTheme="minorHAnsi"/>
          <w:sz w:val="24"/>
          <w:szCs w:val="24"/>
        </w:rPr>
        <w:t xml:space="preserve">Podczas realizacji działań objętych Planem Operacyjnym KSOW na lata 2016-2017 zapewniano upowszechnienie informacji o Programie Rozwoju Obszarów Wiejskich 2014-2020 oraz </w:t>
      </w:r>
      <w:r w:rsidR="00A01CAC">
        <w:rPr>
          <w:rFonts w:asciiTheme="minorHAnsi" w:hAnsiTheme="minorHAnsi"/>
          <w:sz w:val="24"/>
          <w:szCs w:val="24"/>
        </w:rPr>
        <w:br/>
      </w:r>
      <w:r w:rsidRPr="009809C8">
        <w:rPr>
          <w:rFonts w:asciiTheme="minorHAnsi" w:hAnsiTheme="minorHAnsi"/>
          <w:sz w:val="24"/>
          <w:szCs w:val="24"/>
        </w:rPr>
        <w:t>o Krajowej Sieci Obszarów Wiejskich.</w:t>
      </w:r>
      <w:r w:rsidR="00853043">
        <w:rPr>
          <w:rFonts w:asciiTheme="minorHAnsi" w:hAnsiTheme="minorHAnsi"/>
          <w:sz w:val="24"/>
          <w:szCs w:val="24"/>
        </w:rPr>
        <w:t xml:space="preserve"> </w:t>
      </w:r>
      <w:r w:rsidRPr="009809C8">
        <w:rPr>
          <w:rFonts w:asciiTheme="minorHAnsi" w:hAnsiTheme="minorHAnsi"/>
          <w:sz w:val="24"/>
          <w:szCs w:val="24"/>
        </w:rPr>
        <w:t xml:space="preserve">Upowszechnianie informacji o PROW było realizowane </w:t>
      </w:r>
      <w:r w:rsidR="00A01CAC">
        <w:rPr>
          <w:rFonts w:asciiTheme="minorHAnsi" w:hAnsiTheme="minorHAnsi"/>
          <w:sz w:val="24"/>
          <w:szCs w:val="24"/>
        </w:rPr>
        <w:br/>
      </w:r>
      <w:r w:rsidRPr="009809C8">
        <w:rPr>
          <w:rFonts w:asciiTheme="minorHAnsi" w:hAnsiTheme="minorHAnsi"/>
          <w:sz w:val="24"/>
          <w:szCs w:val="24"/>
        </w:rPr>
        <w:t xml:space="preserve">na podstawie rozporządzenia wykonawczego Komisji UE nr 808/2014 z dnia 17 lipca 2014 r., księgi wizualizacji zamieszczonej na stronie MRiRW oraz wytycznych określonych w piśmie </w:t>
      </w:r>
      <w:r w:rsidR="00A01CAC">
        <w:rPr>
          <w:rFonts w:asciiTheme="minorHAnsi" w:hAnsiTheme="minorHAnsi"/>
          <w:sz w:val="24"/>
          <w:szCs w:val="24"/>
        </w:rPr>
        <w:br/>
      </w:r>
      <w:r w:rsidRPr="009809C8">
        <w:rPr>
          <w:rFonts w:asciiTheme="minorHAnsi" w:hAnsiTheme="minorHAnsi"/>
          <w:sz w:val="24"/>
          <w:szCs w:val="24"/>
        </w:rPr>
        <w:t>z dnia 28 października 2015 r. o sygn. PT/</w:t>
      </w:r>
      <w:proofErr w:type="spellStart"/>
      <w:r w:rsidRPr="009809C8">
        <w:rPr>
          <w:rFonts w:asciiTheme="minorHAnsi" w:hAnsiTheme="minorHAnsi"/>
          <w:sz w:val="24"/>
          <w:szCs w:val="24"/>
        </w:rPr>
        <w:t>zks</w:t>
      </w:r>
      <w:proofErr w:type="spellEnd"/>
      <w:r w:rsidRPr="009809C8">
        <w:rPr>
          <w:rFonts w:asciiTheme="minorHAnsi" w:hAnsiTheme="minorHAnsi"/>
          <w:sz w:val="24"/>
          <w:szCs w:val="24"/>
        </w:rPr>
        <w:t>/isz-501-17/15(1283).</w:t>
      </w:r>
    </w:p>
    <w:p w:rsidR="009809C8" w:rsidRPr="009809C8" w:rsidRDefault="00B2284F" w:rsidP="009809C8">
      <w:pPr>
        <w:pStyle w:val="Akapitzlist"/>
        <w:ind w:left="426"/>
        <w:contextualSpacing w:val="0"/>
        <w:jc w:val="both"/>
        <w:rPr>
          <w:rFonts w:asciiTheme="minorHAnsi" w:hAnsiTheme="minorHAnsi"/>
          <w:sz w:val="24"/>
          <w:szCs w:val="24"/>
        </w:rPr>
      </w:pPr>
      <w:r>
        <w:rPr>
          <w:rFonts w:asciiTheme="minorHAnsi" w:hAnsiTheme="minorHAnsi"/>
          <w:sz w:val="24"/>
          <w:szCs w:val="24"/>
        </w:rPr>
        <w:t>Najczęściej realizowaną</w:t>
      </w:r>
      <w:r w:rsidR="009809C8" w:rsidRPr="009809C8">
        <w:rPr>
          <w:rFonts w:asciiTheme="minorHAnsi" w:hAnsiTheme="minorHAnsi"/>
          <w:sz w:val="24"/>
          <w:szCs w:val="24"/>
        </w:rPr>
        <w:t xml:space="preserve"> formą przekazywania informacji były konferencje, spotkania szkoleniowo-informacyjne, warsztaty, szkolenia i spotkania informacyjne podczas, których dystrybuowano materiały informacyjno-promocyjne dotyczące Programu.</w:t>
      </w:r>
    </w:p>
    <w:p w:rsidR="009809C8" w:rsidRPr="009809C8" w:rsidRDefault="009809C8" w:rsidP="009809C8">
      <w:pPr>
        <w:pStyle w:val="Akapitzlist"/>
        <w:ind w:left="426"/>
        <w:contextualSpacing w:val="0"/>
        <w:jc w:val="both"/>
        <w:rPr>
          <w:rFonts w:asciiTheme="minorHAnsi" w:hAnsiTheme="minorHAnsi"/>
          <w:sz w:val="24"/>
          <w:szCs w:val="24"/>
        </w:rPr>
      </w:pPr>
      <w:r w:rsidRPr="009809C8">
        <w:rPr>
          <w:rFonts w:asciiTheme="minorHAnsi" w:hAnsiTheme="minorHAnsi"/>
          <w:sz w:val="24"/>
          <w:szCs w:val="24"/>
        </w:rPr>
        <w:t xml:space="preserve">Utrzymywany był kontakt ze środkami masowego przekazu: telewizja, radio, prasa, </w:t>
      </w:r>
      <w:r w:rsidR="00A01CAC">
        <w:rPr>
          <w:rFonts w:asciiTheme="minorHAnsi" w:hAnsiTheme="minorHAnsi"/>
          <w:sz w:val="24"/>
          <w:szCs w:val="24"/>
        </w:rPr>
        <w:br/>
      </w:r>
      <w:r w:rsidRPr="009809C8">
        <w:rPr>
          <w:rFonts w:asciiTheme="minorHAnsi" w:hAnsiTheme="minorHAnsi"/>
          <w:sz w:val="24"/>
          <w:szCs w:val="24"/>
        </w:rPr>
        <w:t>w szczególności emisja audycji radiowych w krajowych i regionalnych rozgłośniach radiowych oraz wątków nt. PROW w programach i audycjach telewizyjnych</w:t>
      </w:r>
      <w:r w:rsidR="00B2284F">
        <w:rPr>
          <w:rFonts w:asciiTheme="minorHAnsi" w:hAnsiTheme="minorHAnsi"/>
          <w:sz w:val="24"/>
          <w:szCs w:val="24"/>
        </w:rPr>
        <w:t>.</w:t>
      </w:r>
      <w:r w:rsidRPr="009809C8">
        <w:rPr>
          <w:rFonts w:asciiTheme="minorHAnsi" w:hAnsiTheme="minorHAnsi"/>
          <w:sz w:val="24"/>
          <w:szCs w:val="24"/>
        </w:rPr>
        <w:t xml:space="preserve"> </w:t>
      </w:r>
    </w:p>
    <w:p w:rsidR="009809C8" w:rsidRPr="009809C8" w:rsidRDefault="009809C8" w:rsidP="009809C8">
      <w:pPr>
        <w:pStyle w:val="Akapitzlist"/>
        <w:ind w:left="426"/>
        <w:contextualSpacing w:val="0"/>
        <w:jc w:val="both"/>
        <w:rPr>
          <w:rFonts w:asciiTheme="minorHAnsi" w:hAnsiTheme="minorHAnsi"/>
          <w:sz w:val="24"/>
          <w:szCs w:val="24"/>
        </w:rPr>
      </w:pPr>
      <w:r w:rsidRPr="009809C8">
        <w:rPr>
          <w:rFonts w:asciiTheme="minorHAnsi" w:hAnsiTheme="minorHAnsi"/>
          <w:sz w:val="24"/>
          <w:szCs w:val="24"/>
        </w:rPr>
        <w:t>Dystrybuowane były materiały informacyjno-promocyjne dot. PROW 2014-2020, m.in. w trakcie konferencji, szkoleń, spotkań szkoleniowo-informacyjnych, a także podczas większych imprez poświęconych rolnictwu i obszarom wiejskim.</w:t>
      </w:r>
    </w:p>
    <w:p w:rsidR="009809C8" w:rsidRPr="009809C8" w:rsidRDefault="009809C8" w:rsidP="009809C8">
      <w:pPr>
        <w:pStyle w:val="Akapitzlist"/>
        <w:ind w:left="426"/>
        <w:contextualSpacing w:val="0"/>
        <w:jc w:val="both"/>
        <w:rPr>
          <w:rFonts w:asciiTheme="minorHAnsi" w:hAnsiTheme="minorHAnsi"/>
          <w:sz w:val="24"/>
          <w:szCs w:val="24"/>
        </w:rPr>
      </w:pPr>
      <w:r w:rsidRPr="009809C8">
        <w:rPr>
          <w:rFonts w:asciiTheme="minorHAnsi" w:hAnsiTheme="minorHAnsi"/>
          <w:sz w:val="24"/>
          <w:szCs w:val="24"/>
        </w:rPr>
        <w:t xml:space="preserve">Informacje dotyczące Programu udzielane były </w:t>
      </w:r>
      <w:r w:rsidR="00B2284F">
        <w:rPr>
          <w:rFonts w:asciiTheme="minorHAnsi" w:hAnsiTheme="minorHAnsi"/>
          <w:sz w:val="24"/>
          <w:szCs w:val="24"/>
        </w:rPr>
        <w:t xml:space="preserve">również </w:t>
      </w:r>
      <w:r w:rsidRPr="009809C8">
        <w:rPr>
          <w:rFonts w:asciiTheme="minorHAnsi" w:hAnsiTheme="minorHAnsi"/>
          <w:sz w:val="24"/>
          <w:szCs w:val="24"/>
        </w:rPr>
        <w:t>podczas międzynarodowych i ogólnopolskich imprez o charakterze rolniczym, targów, imprez plenerowych – w formie stoisk informacyjnych.</w:t>
      </w:r>
    </w:p>
    <w:p w:rsidR="00853043" w:rsidRDefault="009809C8" w:rsidP="009809C8">
      <w:pPr>
        <w:pStyle w:val="Akapitzlist"/>
        <w:ind w:left="426"/>
        <w:contextualSpacing w:val="0"/>
        <w:jc w:val="both"/>
        <w:rPr>
          <w:rFonts w:asciiTheme="minorHAnsi" w:hAnsiTheme="minorHAnsi"/>
          <w:sz w:val="24"/>
          <w:szCs w:val="24"/>
        </w:rPr>
      </w:pPr>
      <w:r w:rsidRPr="009809C8">
        <w:rPr>
          <w:rFonts w:asciiTheme="minorHAnsi" w:hAnsiTheme="minorHAnsi"/>
          <w:sz w:val="24"/>
          <w:szCs w:val="24"/>
        </w:rPr>
        <w:t xml:space="preserve">Do informowania i rozpowszechniania informacji o pomocy otrzymanej z EFRROW, zgodnie </w:t>
      </w:r>
      <w:r w:rsidR="00A01CAC">
        <w:rPr>
          <w:rFonts w:asciiTheme="minorHAnsi" w:hAnsiTheme="minorHAnsi"/>
          <w:sz w:val="24"/>
          <w:szCs w:val="24"/>
        </w:rPr>
        <w:br/>
      </w:r>
      <w:r w:rsidRPr="009809C8">
        <w:rPr>
          <w:rFonts w:asciiTheme="minorHAnsi" w:hAnsiTheme="minorHAnsi"/>
          <w:sz w:val="24"/>
          <w:szCs w:val="24"/>
        </w:rPr>
        <w:t>z warunkami określonymi w księdze wizualizacji znaku PROW na lata 201</w:t>
      </w:r>
      <w:r w:rsidR="00B9327D">
        <w:rPr>
          <w:rFonts w:asciiTheme="minorHAnsi" w:hAnsiTheme="minorHAnsi"/>
          <w:sz w:val="24"/>
          <w:szCs w:val="24"/>
        </w:rPr>
        <w:t xml:space="preserve">4-2020 zobowiązywano w umowach </w:t>
      </w:r>
      <w:r w:rsidRPr="009809C8">
        <w:rPr>
          <w:rFonts w:asciiTheme="minorHAnsi" w:hAnsiTheme="minorHAnsi"/>
          <w:sz w:val="24"/>
          <w:szCs w:val="24"/>
        </w:rPr>
        <w:t>wykonawców poszczególnych zadań w ramach operacji</w:t>
      </w:r>
      <w:r w:rsidR="00B9327D">
        <w:rPr>
          <w:rFonts w:asciiTheme="minorHAnsi" w:hAnsiTheme="minorHAnsi"/>
          <w:sz w:val="24"/>
          <w:szCs w:val="24"/>
        </w:rPr>
        <w:t xml:space="preserve"> własnych</w:t>
      </w:r>
      <w:r w:rsidRPr="009809C8">
        <w:rPr>
          <w:rFonts w:asciiTheme="minorHAnsi" w:hAnsiTheme="minorHAnsi"/>
          <w:sz w:val="24"/>
          <w:szCs w:val="24"/>
        </w:rPr>
        <w:t>.</w:t>
      </w:r>
      <w:r w:rsidR="00853043">
        <w:rPr>
          <w:rFonts w:asciiTheme="minorHAnsi" w:hAnsiTheme="minorHAnsi"/>
          <w:sz w:val="24"/>
          <w:szCs w:val="24"/>
        </w:rPr>
        <w:t xml:space="preserve"> Również w umowach zawartych z Partnerami KSOW na realizację operacji objętych Planem operacyjnym KSOW na lata 2016-2017 zawarto zapis</w:t>
      </w:r>
      <w:r w:rsidR="00CA1EF9">
        <w:rPr>
          <w:rFonts w:asciiTheme="minorHAnsi" w:hAnsiTheme="minorHAnsi"/>
          <w:sz w:val="24"/>
          <w:szCs w:val="24"/>
        </w:rPr>
        <w:t>y</w:t>
      </w:r>
      <w:r w:rsidR="00853043">
        <w:rPr>
          <w:rFonts w:asciiTheme="minorHAnsi" w:hAnsiTheme="minorHAnsi"/>
          <w:sz w:val="24"/>
          <w:szCs w:val="24"/>
        </w:rPr>
        <w:t xml:space="preserve"> zobowiązujący Partnera KSOW </w:t>
      </w:r>
      <w:r w:rsidR="00CA1EF9">
        <w:rPr>
          <w:rFonts w:asciiTheme="minorHAnsi" w:hAnsiTheme="minorHAnsi"/>
          <w:sz w:val="24"/>
          <w:szCs w:val="24"/>
        </w:rPr>
        <w:t>do odpowiedniego oznakowania dokumentacji, materiałów i miejsc realizacji operacji.</w:t>
      </w:r>
      <w:r w:rsidRPr="009809C8">
        <w:rPr>
          <w:rFonts w:asciiTheme="minorHAnsi" w:hAnsiTheme="minorHAnsi"/>
          <w:sz w:val="24"/>
          <w:szCs w:val="24"/>
        </w:rPr>
        <w:t xml:space="preserve"> </w:t>
      </w:r>
    </w:p>
    <w:p w:rsidR="00CA1EF9" w:rsidRDefault="00B2284F" w:rsidP="009809C8">
      <w:pPr>
        <w:pStyle w:val="Akapitzlist"/>
        <w:ind w:left="426"/>
        <w:contextualSpacing w:val="0"/>
        <w:jc w:val="both"/>
        <w:rPr>
          <w:rFonts w:asciiTheme="minorHAnsi" w:hAnsiTheme="minorHAnsi"/>
          <w:sz w:val="24"/>
          <w:szCs w:val="24"/>
        </w:rPr>
      </w:pPr>
      <w:r>
        <w:rPr>
          <w:rFonts w:asciiTheme="minorHAnsi" w:hAnsiTheme="minorHAnsi"/>
          <w:sz w:val="24"/>
          <w:szCs w:val="24"/>
        </w:rPr>
        <w:t>Ponadto d</w:t>
      </w:r>
      <w:r w:rsidR="009809C8" w:rsidRPr="009809C8">
        <w:rPr>
          <w:rFonts w:asciiTheme="minorHAnsi" w:hAnsiTheme="minorHAnsi"/>
          <w:sz w:val="24"/>
          <w:szCs w:val="24"/>
        </w:rPr>
        <w:t>epartamenty MRiRW</w:t>
      </w:r>
      <w:r w:rsidR="00B9327D">
        <w:rPr>
          <w:rFonts w:asciiTheme="minorHAnsi" w:hAnsiTheme="minorHAnsi"/>
          <w:sz w:val="24"/>
          <w:szCs w:val="24"/>
        </w:rPr>
        <w:t xml:space="preserve"> </w:t>
      </w:r>
      <w:r w:rsidR="00A01CAC">
        <w:rPr>
          <w:rFonts w:asciiTheme="minorHAnsi" w:hAnsiTheme="minorHAnsi"/>
          <w:sz w:val="24"/>
          <w:szCs w:val="24"/>
        </w:rPr>
        <w:t>oraz</w:t>
      </w:r>
      <w:r w:rsidR="00CA1EF9">
        <w:rPr>
          <w:rFonts w:asciiTheme="minorHAnsi" w:hAnsiTheme="minorHAnsi"/>
          <w:sz w:val="24"/>
          <w:szCs w:val="24"/>
        </w:rPr>
        <w:t xml:space="preserve"> jednostki </w:t>
      </w:r>
      <w:r w:rsidR="00A01CAC">
        <w:rPr>
          <w:rFonts w:asciiTheme="minorHAnsi" w:hAnsiTheme="minorHAnsi"/>
          <w:sz w:val="24"/>
          <w:szCs w:val="24"/>
        </w:rPr>
        <w:t xml:space="preserve">regionalne </w:t>
      </w:r>
      <w:r w:rsidR="009809C8" w:rsidRPr="009809C8">
        <w:rPr>
          <w:rFonts w:asciiTheme="minorHAnsi" w:hAnsiTheme="minorHAnsi"/>
          <w:sz w:val="24"/>
          <w:szCs w:val="24"/>
        </w:rPr>
        <w:t>obowiąze</w:t>
      </w:r>
      <w:r>
        <w:rPr>
          <w:rFonts w:asciiTheme="minorHAnsi" w:hAnsiTheme="minorHAnsi"/>
          <w:sz w:val="24"/>
          <w:szCs w:val="24"/>
        </w:rPr>
        <w:t>k informowania zapewniały niekiedy</w:t>
      </w:r>
      <w:r w:rsidR="009809C8" w:rsidRPr="009809C8">
        <w:rPr>
          <w:rFonts w:asciiTheme="minorHAnsi" w:hAnsiTheme="minorHAnsi"/>
          <w:sz w:val="24"/>
          <w:szCs w:val="24"/>
        </w:rPr>
        <w:t xml:space="preserve"> także we własnym zakresie, np. poprzez udostępnianie banerów/</w:t>
      </w:r>
      <w:proofErr w:type="spellStart"/>
      <w:r w:rsidR="009809C8" w:rsidRPr="009809C8">
        <w:rPr>
          <w:rFonts w:asciiTheme="minorHAnsi" w:hAnsiTheme="minorHAnsi"/>
          <w:sz w:val="24"/>
          <w:szCs w:val="24"/>
        </w:rPr>
        <w:t>roll-upów</w:t>
      </w:r>
      <w:proofErr w:type="spellEnd"/>
      <w:r w:rsidR="009809C8" w:rsidRPr="009809C8">
        <w:rPr>
          <w:rFonts w:asciiTheme="minorHAnsi" w:hAnsiTheme="minorHAnsi"/>
          <w:sz w:val="24"/>
          <w:szCs w:val="24"/>
        </w:rPr>
        <w:t xml:space="preserve">/plakatów opatrzonych logotypami zgodnie z księgą wizualizacji znaku PROW na lata 2014-2020 </w:t>
      </w:r>
      <w:r w:rsidR="00A01CAC">
        <w:rPr>
          <w:rFonts w:asciiTheme="minorHAnsi" w:hAnsiTheme="minorHAnsi"/>
          <w:sz w:val="24"/>
          <w:szCs w:val="24"/>
        </w:rPr>
        <w:br/>
      </w:r>
      <w:r w:rsidR="009809C8" w:rsidRPr="009809C8">
        <w:rPr>
          <w:rFonts w:asciiTheme="minorHAnsi" w:hAnsiTheme="minorHAnsi"/>
          <w:sz w:val="24"/>
          <w:szCs w:val="24"/>
        </w:rPr>
        <w:t>i przekazywanie informa</w:t>
      </w:r>
      <w:r w:rsidR="00A01CAC">
        <w:rPr>
          <w:rFonts w:asciiTheme="minorHAnsi" w:hAnsiTheme="minorHAnsi"/>
          <w:sz w:val="24"/>
          <w:szCs w:val="24"/>
        </w:rPr>
        <w:t xml:space="preserve">cji ustnej w trakcie </w:t>
      </w:r>
      <w:r w:rsidR="009809C8" w:rsidRPr="009809C8">
        <w:rPr>
          <w:rFonts w:asciiTheme="minorHAnsi" w:hAnsiTheme="minorHAnsi"/>
          <w:sz w:val="24"/>
          <w:szCs w:val="24"/>
        </w:rPr>
        <w:t xml:space="preserve">operacji </w:t>
      </w:r>
      <w:r w:rsidR="00B9327D">
        <w:rPr>
          <w:rFonts w:asciiTheme="minorHAnsi" w:hAnsiTheme="minorHAnsi"/>
          <w:sz w:val="24"/>
          <w:szCs w:val="24"/>
        </w:rPr>
        <w:t xml:space="preserve">w których uczestniczyły </w:t>
      </w:r>
      <w:r w:rsidR="009809C8" w:rsidRPr="009809C8">
        <w:rPr>
          <w:rFonts w:asciiTheme="minorHAnsi" w:hAnsiTheme="minorHAnsi"/>
          <w:sz w:val="24"/>
          <w:szCs w:val="24"/>
        </w:rPr>
        <w:t>np. konferencji, szkoleń, wyjazdów</w:t>
      </w:r>
      <w:r w:rsidR="00CA1EF9">
        <w:rPr>
          <w:rFonts w:asciiTheme="minorHAnsi" w:hAnsiTheme="minorHAnsi"/>
          <w:sz w:val="24"/>
          <w:szCs w:val="24"/>
        </w:rPr>
        <w:t>.</w:t>
      </w:r>
    </w:p>
    <w:p w:rsidR="009809C8" w:rsidRPr="009809C8" w:rsidRDefault="007B3FD3" w:rsidP="009809C8">
      <w:pPr>
        <w:pStyle w:val="Akapitzlist"/>
        <w:ind w:left="426"/>
        <w:contextualSpacing w:val="0"/>
        <w:jc w:val="both"/>
        <w:rPr>
          <w:rFonts w:asciiTheme="minorHAnsi" w:hAnsiTheme="minorHAnsi"/>
          <w:sz w:val="24"/>
          <w:szCs w:val="24"/>
        </w:rPr>
      </w:pPr>
      <w:r>
        <w:rPr>
          <w:rFonts w:asciiTheme="minorHAnsi" w:hAnsiTheme="minorHAnsi"/>
          <w:sz w:val="24"/>
          <w:szCs w:val="24"/>
        </w:rPr>
        <w:t>Informacje o PROW 2014-2020 były zamieszczane</w:t>
      </w:r>
      <w:r w:rsidR="009809C8" w:rsidRPr="009809C8">
        <w:rPr>
          <w:rFonts w:asciiTheme="minorHAnsi" w:hAnsiTheme="minorHAnsi"/>
          <w:sz w:val="24"/>
          <w:szCs w:val="24"/>
        </w:rPr>
        <w:t xml:space="preserve"> </w:t>
      </w:r>
      <w:r>
        <w:rPr>
          <w:rFonts w:asciiTheme="minorHAnsi" w:hAnsiTheme="minorHAnsi"/>
          <w:sz w:val="24"/>
          <w:szCs w:val="24"/>
        </w:rPr>
        <w:t xml:space="preserve">zarówno na </w:t>
      </w:r>
      <w:r w:rsidR="009809C8" w:rsidRPr="009809C8">
        <w:rPr>
          <w:rFonts w:asciiTheme="minorHAnsi" w:hAnsiTheme="minorHAnsi"/>
          <w:sz w:val="24"/>
          <w:szCs w:val="24"/>
        </w:rPr>
        <w:t>portalu ksow</w:t>
      </w:r>
      <w:r w:rsidR="00915061">
        <w:rPr>
          <w:rFonts w:asciiTheme="minorHAnsi" w:hAnsiTheme="minorHAnsi"/>
          <w:sz w:val="24"/>
          <w:szCs w:val="24"/>
        </w:rPr>
        <w:t>.pl</w:t>
      </w:r>
      <w:r>
        <w:rPr>
          <w:rFonts w:asciiTheme="minorHAnsi" w:hAnsiTheme="minorHAnsi"/>
          <w:sz w:val="24"/>
          <w:szCs w:val="24"/>
        </w:rPr>
        <w:t xml:space="preserve"> jak i stronach własnych </w:t>
      </w:r>
      <w:r w:rsidR="00B9327D">
        <w:rPr>
          <w:rFonts w:asciiTheme="minorHAnsi" w:hAnsiTheme="minorHAnsi"/>
          <w:sz w:val="24"/>
          <w:szCs w:val="24"/>
        </w:rPr>
        <w:t>podmiotów tworzących strukturę KSOW</w:t>
      </w:r>
      <w:r w:rsidR="009809C8" w:rsidRPr="009809C8">
        <w:rPr>
          <w:rFonts w:asciiTheme="minorHAnsi" w:hAnsiTheme="minorHAnsi"/>
          <w:sz w:val="24"/>
          <w:szCs w:val="24"/>
        </w:rPr>
        <w:t>.</w:t>
      </w:r>
    </w:p>
    <w:p w:rsidR="00CA1EF9" w:rsidRDefault="00B9327D" w:rsidP="00A53B28">
      <w:pPr>
        <w:pStyle w:val="Akapitzlist"/>
        <w:ind w:left="425"/>
        <w:contextualSpacing w:val="0"/>
        <w:jc w:val="both"/>
        <w:rPr>
          <w:rFonts w:asciiTheme="minorHAnsi" w:hAnsiTheme="minorHAnsi"/>
          <w:sz w:val="24"/>
          <w:szCs w:val="24"/>
        </w:rPr>
      </w:pPr>
      <w:r>
        <w:rPr>
          <w:rFonts w:asciiTheme="minorHAnsi" w:hAnsiTheme="minorHAnsi"/>
          <w:sz w:val="24"/>
          <w:szCs w:val="24"/>
        </w:rPr>
        <w:t>Prowadzone były</w:t>
      </w:r>
      <w:r w:rsidR="00CA1EF9">
        <w:rPr>
          <w:rFonts w:asciiTheme="minorHAnsi" w:hAnsiTheme="minorHAnsi"/>
          <w:sz w:val="24"/>
          <w:szCs w:val="24"/>
        </w:rPr>
        <w:t xml:space="preserve"> Punkty Informacyjne </w:t>
      </w:r>
      <w:r w:rsidR="009D760D">
        <w:rPr>
          <w:rFonts w:asciiTheme="minorHAnsi" w:hAnsiTheme="minorHAnsi"/>
          <w:sz w:val="24"/>
          <w:szCs w:val="24"/>
        </w:rPr>
        <w:t>PROW 2014-2020, w których</w:t>
      </w:r>
      <w:r w:rsidR="00A01CAC">
        <w:rPr>
          <w:rFonts w:asciiTheme="minorHAnsi" w:hAnsiTheme="minorHAnsi"/>
          <w:sz w:val="24"/>
          <w:szCs w:val="24"/>
        </w:rPr>
        <w:t xml:space="preserve"> udzielano</w:t>
      </w:r>
      <w:r w:rsidR="009D760D">
        <w:rPr>
          <w:rFonts w:asciiTheme="minorHAnsi" w:hAnsiTheme="minorHAnsi"/>
          <w:sz w:val="24"/>
          <w:szCs w:val="24"/>
        </w:rPr>
        <w:t xml:space="preserve"> </w:t>
      </w:r>
      <w:r w:rsidR="00A01CAC">
        <w:rPr>
          <w:rFonts w:asciiTheme="minorHAnsi" w:hAnsiTheme="minorHAnsi"/>
          <w:sz w:val="24"/>
          <w:szCs w:val="24"/>
        </w:rPr>
        <w:t>informacji</w:t>
      </w:r>
      <w:r w:rsidR="009D760D">
        <w:rPr>
          <w:rFonts w:asciiTheme="minorHAnsi" w:hAnsiTheme="minorHAnsi"/>
          <w:sz w:val="24"/>
          <w:szCs w:val="24"/>
        </w:rPr>
        <w:t xml:space="preserve"> </w:t>
      </w:r>
      <w:r w:rsidR="00A01CAC">
        <w:rPr>
          <w:rFonts w:asciiTheme="minorHAnsi" w:hAnsiTheme="minorHAnsi"/>
          <w:sz w:val="24"/>
          <w:szCs w:val="24"/>
        </w:rPr>
        <w:br/>
      </w:r>
      <w:r w:rsidR="009D760D">
        <w:rPr>
          <w:rFonts w:asciiTheme="minorHAnsi" w:hAnsiTheme="minorHAnsi"/>
          <w:sz w:val="24"/>
          <w:szCs w:val="24"/>
        </w:rPr>
        <w:t>na temat Programu</w:t>
      </w:r>
      <w:r w:rsidR="00EA064C">
        <w:rPr>
          <w:rFonts w:asciiTheme="minorHAnsi" w:hAnsiTheme="minorHAnsi"/>
          <w:sz w:val="24"/>
          <w:szCs w:val="24"/>
        </w:rPr>
        <w:t xml:space="preserve"> oraz dystrybuowano materiały infor</w:t>
      </w:r>
      <w:r w:rsidR="007B3FD3">
        <w:rPr>
          <w:rFonts w:asciiTheme="minorHAnsi" w:hAnsiTheme="minorHAnsi"/>
          <w:sz w:val="24"/>
          <w:szCs w:val="24"/>
        </w:rPr>
        <w:t>macyjno-promocyjne</w:t>
      </w:r>
      <w:r w:rsidR="009D760D">
        <w:rPr>
          <w:rFonts w:asciiTheme="minorHAnsi" w:hAnsiTheme="minorHAnsi"/>
          <w:sz w:val="24"/>
          <w:szCs w:val="24"/>
        </w:rPr>
        <w:t xml:space="preserve">. Dodatkowo Agencja Restrukturyzacji i Modernizacji Rolnictwa </w:t>
      </w:r>
      <w:r w:rsidR="00EA064C">
        <w:rPr>
          <w:rFonts w:asciiTheme="minorHAnsi" w:hAnsiTheme="minorHAnsi"/>
          <w:sz w:val="24"/>
          <w:szCs w:val="24"/>
        </w:rPr>
        <w:t xml:space="preserve">prowadzi bezpłatną infolinię, na której można </w:t>
      </w:r>
      <w:r w:rsidR="00EA064C">
        <w:rPr>
          <w:rFonts w:asciiTheme="minorHAnsi" w:hAnsiTheme="minorHAnsi"/>
          <w:sz w:val="24"/>
          <w:szCs w:val="24"/>
        </w:rPr>
        <w:lastRenderedPageBreak/>
        <w:t>otrzymać informację o pomocy udzielanej przez ARiMR. Infolinię obsługują osoby niedowidzące lub niewidome, co przyczynia się do niwelowania wykluczenia społecznego osób niepełnospraw</w:t>
      </w:r>
      <w:r w:rsidR="00A53B28">
        <w:rPr>
          <w:rFonts w:asciiTheme="minorHAnsi" w:hAnsiTheme="minorHAnsi"/>
          <w:sz w:val="24"/>
          <w:szCs w:val="24"/>
        </w:rPr>
        <w:t>nych.</w:t>
      </w:r>
      <w:r w:rsidR="009D760D">
        <w:rPr>
          <w:rFonts w:asciiTheme="minorHAnsi" w:hAnsiTheme="minorHAnsi"/>
          <w:sz w:val="24"/>
          <w:szCs w:val="24"/>
        </w:rPr>
        <w:t xml:space="preserve">   </w:t>
      </w:r>
    </w:p>
    <w:p w:rsidR="009809C8" w:rsidRPr="009809C8" w:rsidRDefault="009809C8" w:rsidP="009809C8">
      <w:pPr>
        <w:pStyle w:val="Akapitzlist"/>
        <w:spacing w:after="0"/>
        <w:ind w:left="425"/>
        <w:contextualSpacing w:val="0"/>
        <w:jc w:val="both"/>
        <w:rPr>
          <w:rFonts w:asciiTheme="minorHAnsi" w:hAnsiTheme="minorHAnsi"/>
          <w:sz w:val="24"/>
          <w:szCs w:val="24"/>
        </w:rPr>
      </w:pPr>
      <w:r w:rsidRPr="009809C8">
        <w:rPr>
          <w:rFonts w:asciiTheme="minorHAnsi" w:hAnsiTheme="minorHAnsi"/>
          <w:sz w:val="24"/>
          <w:szCs w:val="24"/>
        </w:rPr>
        <w:t xml:space="preserve">Sposób informowania o źródle finansowania i wkładzie finansowym UE był uzależniony </w:t>
      </w:r>
      <w:r w:rsidR="00A01CAC">
        <w:rPr>
          <w:rFonts w:asciiTheme="minorHAnsi" w:hAnsiTheme="minorHAnsi"/>
          <w:sz w:val="24"/>
          <w:szCs w:val="24"/>
        </w:rPr>
        <w:br/>
      </w:r>
      <w:r w:rsidRPr="009809C8">
        <w:rPr>
          <w:rFonts w:asciiTheme="minorHAnsi" w:hAnsiTheme="minorHAnsi"/>
          <w:sz w:val="24"/>
          <w:szCs w:val="24"/>
        </w:rPr>
        <w:t>od rodzaju operacji i różnorodności w</w:t>
      </w:r>
      <w:r w:rsidR="00B2284F">
        <w:rPr>
          <w:rFonts w:asciiTheme="minorHAnsi" w:hAnsiTheme="minorHAnsi"/>
          <w:sz w:val="24"/>
          <w:szCs w:val="24"/>
        </w:rPr>
        <w:t>ykorzystywanych nośników, m.in.</w:t>
      </w:r>
      <w:r w:rsidRPr="009809C8">
        <w:rPr>
          <w:rFonts w:asciiTheme="minorHAnsi" w:hAnsiTheme="minorHAnsi"/>
          <w:sz w:val="24"/>
          <w:szCs w:val="24"/>
        </w:rPr>
        <w:t>:</w:t>
      </w:r>
    </w:p>
    <w:p w:rsidR="009809C8" w:rsidRPr="009809C8" w:rsidRDefault="009809C8" w:rsidP="009809C8">
      <w:pPr>
        <w:pStyle w:val="Akapitzlist"/>
        <w:numPr>
          <w:ilvl w:val="0"/>
          <w:numId w:val="43"/>
        </w:numPr>
        <w:jc w:val="both"/>
        <w:rPr>
          <w:rFonts w:asciiTheme="minorHAnsi" w:hAnsiTheme="minorHAnsi"/>
          <w:sz w:val="24"/>
          <w:szCs w:val="24"/>
        </w:rPr>
      </w:pPr>
      <w:r w:rsidRPr="009809C8">
        <w:rPr>
          <w:rFonts w:asciiTheme="minorHAnsi" w:hAnsiTheme="minorHAnsi"/>
          <w:sz w:val="24"/>
          <w:szCs w:val="24"/>
        </w:rPr>
        <w:t>imprezy plenerowe (targi, wystawy, dożynki itp.) oznakowane poprzez ekspozycje</w:t>
      </w:r>
      <w:r w:rsidR="00B2284F">
        <w:rPr>
          <w:rFonts w:asciiTheme="minorHAnsi" w:hAnsiTheme="minorHAnsi"/>
          <w:sz w:val="24"/>
          <w:szCs w:val="24"/>
        </w:rPr>
        <w:t>,</w:t>
      </w:r>
    </w:p>
    <w:p w:rsidR="009809C8" w:rsidRPr="009809C8" w:rsidRDefault="009809C8" w:rsidP="009809C8">
      <w:pPr>
        <w:pStyle w:val="Akapitzlist"/>
        <w:numPr>
          <w:ilvl w:val="0"/>
          <w:numId w:val="43"/>
        </w:numPr>
        <w:jc w:val="both"/>
        <w:rPr>
          <w:rFonts w:asciiTheme="minorHAnsi" w:hAnsiTheme="minorHAnsi"/>
          <w:sz w:val="24"/>
          <w:szCs w:val="24"/>
        </w:rPr>
      </w:pPr>
      <w:proofErr w:type="spellStart"/>
      <w:r w:rsidRPr="009809C8">
        <w:rPr>
          <w:rFonts w:asciiTheme="minorHAnsi" w:hAnsiTheme="minorHAnsi"/>
          <w:sz w:val="24"/>
          <w:szCs w:val="24"/>
        </w:rPr>
        <w:t>roll-upów</w:t>
      </w:r>
      <w:proofErr w:type="spellEnd"/>
      <w:r w:rsidRPr="009809C8">
        <w:rPr>
          <w:rFonts w:asciiTheme="minorHAnsi" w:hAnsiTheme="minorHAnsi"/>
          <w:sz w:val="24"/>
          <w:szCs w:val="24"/>
        </w:rPr>
        <w:t xml:space="preserve">/ banerów/plansz zawierających wymagane logotypy, ponadto informacje </w:t>
      </w:r>
      <w:r w:rsidR="00A01CAC">
        <w:rPr>
          <w:rFonts w:asciiTheme="minorHAnsi" w:hAnsiTheme="minorHAnsi"/>
          <w:sz w:val="24"/>
          <w:szCs w:val="24"/>
        </w:rPr>
        <w:br/>
      </w:r>
      <w:r w:rsidRPr="009809C8">
        <w:rPr>
          <w:rFonts w:asciiTheme="minorHAnsi" w:hAnsiTheme="minorHAnsi"/>
          <w:sz w:val="24"/>
          <w:szCs w:val="24"/>
        </w:rPr>
        <w:t>o wsparciu ze środków EFROW była przekazywana przez pracowników obsługujących stoiska,</w:t>
      </w:r>
    </w:p>
    <w:p w:rsidR="009809C8" w:rsidRPr="009809C8" w:rsidRDefault="009809C8" w:rsidP="009809C8">
      <w:pPr>
        <w:pStyle w:val="Akapitzlist"/>
        <w:numPr>
          <w:ilvl w:val="0"/>
          <w:numId w:val="43"/>
        </w:numPr>
        <w:jc w:val="both"/>
        <w:rPr>
          <w:rFonts w:asciiTheme="minorHAnsi" w:hAnsiTheme="minorHAnsi"/>
          <w:sz w:val="24"/>
          <w:szCs w:val="24"/>
        </w:rPr>
      </w:pPr>
      <w:r w:rsidRPr="009809C8">
        <w:rPr>
          <w:rFonts w:asciiTheme="minorHAnsi" w:hAnsiTheme="minorHAnsi"/>
          <w:sz w:val="24"/>
          <w:szCs w:val="24"/>
        </w:rPr>
        <w:t>spotkania informacyjne/szkolenia/konferencje/warsztaty/wyjazdy oznakowane były zgodnie z wymogami, poprzez ekspozycje wizualizacji znaku PROW 2014-2020 w salach, oznakowa</w:t>
      </w:r>
      <w:r w:rsidR="00B2284F">
        <w:rPr>
          <w:rFonts w:asciiTheme="minorHAnsi" w:hAnsiTheme="minorHAnsi"/>
          <w:sz w:val="24"/>
          <w:szCs w:val="24"/>
        </w:rPr>
        <w:t>nie prezentacji, list obecności</w:t>
      </w:r>
      <w:r w:rsidRPr="009809C8">
        <w:rPr>
          <w:rFonts w:asciiTheme="minorHAnsi" w:hAnsiTheme="minorHAnsi"/>
          <w:sz w:val="24"/>
          <w:szCs w:val="24"/>
        </w:rPr>
        <w:t xml:space="preserve"> oraz innych materiałów informacyjnych przeznaczonych dla uczestników,</w:t>
      </w:r>
    </w:p>
    <w:p w:rsidR="009809C8" w:rsidRPr="009809C8" w:rsidRDefault="009809C8" w:rsidP="009809C8">
      <w:pPr>
        <w:pStyle w:val="Akapitzlist"/>
        <w:numPr>
          <w:ilvl w:val="0"/>
          <w:numId w:val="43"/>
        </w:numPr>
        <w:jc w:val="both"/>
        <w:rPr>
          <w:rFonts w:asciiTheme="minorHAnsi" w:hAnsiTheme="minorHAnsi"/>
          <w:sz w:val="24"/>
          <w:szCs w:val="24"/>
        </w:rPr>
      </w:pPr>
      <w:r w:rsidRPr="009809C8">
        <w:rPr>
          <w:rFonts w:asciiTheme="minorHAnsi" w:hAnsiTheme="minorHAnsi"/>
          <w:sz w:val="24"/>
          <w:szCs w:val="24"/>
        </w:rPr>
        <w:t xml:space="preserve">audycje radiowe zawierały odwołanie słowne, audycje telewizyjne opatrzone były planszą </w:t>
      </w:r>
      <w:r w:rsidR="00A53B28">
        <w:rPr>
          <w:rFonts w:asciiTheme="minorHAnsi" w:hAnsiTheme="minorHAnsi"/>
          <w:sz w:val="24"/>
          <w:szCs w:val="24"/>
        </w:rPr>
        <w:br/>
      </w:r>
      <w:r w:rsidRPr="009809C8">
        <w:rPr>
          <w:rFonts w:asciiTheme="minorHAnsi" w:hAnsiTheme="minorHAnsi"/>
          <w:sz w:val="24"/>
          <w:szCs w:val="24"/>
        </w:rPr>
        <w:t>z odpowiednimi logotypami i odwołaniem słownym,</w:t>
      </w:r>
    </w:p>
    <w:p w:rsidR="009809C8" w:rsidRPr="009809C8" w:rsidRDefault="009809C8" w:rsidP="009809C8">
      <w:pPr>
        <w:pStyle w:val="Akapitzlist"/>
        <w:numPr>
          <w:ilvl w:val="0"/>
          <w:numId w:val="43"/>
        </w:numPr>
        <w:jc w:val="both"/>
        <w:rPr>
          <w:rFonts w:asciiTheme="minorHAnsi" w:hAnsiTheme="minorHAnsi"/>
          <w:sz w:val="24"/>
          <w:szCs w:val="24"/>
        </w:rPr>
      </w:pPr>
      <w:r w:rsidRPr="009809C8">
        <w:rPr>
          <w:rFonts w:asciiTheme="minorHAnsi" w:hAnsiTheme="minorHAnsi"/>
          <w:sz w:val="24"/>
          <w:szCs w:val="24"/>
        </w:rPr>
        <w:t xml:space="preserve">materiały informacyjne/materiały informacyjno-promocyjne / </w:t>
      </w:r>
      <w:proofErr w:type="spellStart"/>
      <w:r w:rsidRPr="009809C8">
        <w:rPr>
          <w:rFonts w:asciiTheme="minorHAnsi" w:hAnsiTheme="minorHAnsi"/>
          <w:sz w:val="24"/>
          <w:szCs w:val="24"/>
        </w:rPr>
        <w:t>roll-upy</w:t>
      </w:r>
      <w:proofErr w:type="spellEnd"/>
      <w:r w:rsidRPr="009809C8">
        <w:rPr>
          <w:rFonts w:asciiTheme="minorHAnsi" w:hAnsiTheme="minorHAnsi"/>
          <w:sz w:val="24"/>
          <w:szCs w:val="24"/>
        </w:rPr>
        <w:t>/artykuły prasowe promujące Program Rozwoju Obszarów Wiejskich na lata 2014-2020, KSOW oraz materiały informacyjne dotyczące poszczególnych operacji zawierały odpowiednie logotypy oraz slogany,</w:t>
      </w:r>
    </w:p>
    <w:p w:rsidR="009809C8" w:rsidRPr="009809C8" w:rsidRDefault="009809C8" w:rsidP="009809C8">
      <w:pPr>
        <w:pStyle w:val="Akapitzlist"/>
        <w:numPr>
          <w:ilvl w:val="0"/>
          <w:numId w:val="43"/>
        </w:numPr>
        <w:ind w:left="782" w:hanging="357"/>
        <w:contextualSpacing w:val="0"/>
        <w:jc w:val="both"/>
        <w:rPr>
          <w:rFonts w:asciiTheme="minorHAnsi" w:hAnsiTheme="minorHAnsi"/>
          <w:sz w:val="24"/>
          <w:szCs w:val="24"/>
        </w:rPr>
      </w:pPr>
      <w:r w:rsidRPr="009809C8">
        <w:rPr>
          <w:rFonts w:asciiTheme="minorHAnsi" w:hAnsiTheme="minorHAnsi"/>
          <w:sz w:val="24"/>
          <w:szCs w:val="24"/>
        </w:rPr>
        <w:t>gadżety/długopisy/notesy/kalendarze i inne materiały promocyjne zawierały odpowiednie logotypy oraz slogany.</w:t>
      </w:r>
    </w:p>
    <w:p w:rsidR="009809C8" w:rsidRPr="009809C8" w:rsidRDefault="009809C8" w:rsidP="009809C8">
      <w:pPr>
        <w:pStyle w:val="Akapitzlist"/>
        <w:spacing w:after="0"/>
        <w:ind w:left="425"/>
        <w:contextualSpacing w:val="0"/>
        <w:jc w:val="both"/>
        <w:rPr>
          <w:rFonts w:asciiTheme="minorHAnsi" w:hAnsiTheme="minorHAnsi"/>
          <w:sz w:val="24"/>
          <w:szCs w:val="24"/>
        </w:rPr>
      </w:pPr>
      <w:r w:rsidRPr="009809C8">
        <w:rPr>
          <w:rFonts w:asciiTheme="minorHAnsi" w:hAnsiTheme="minorHAnsi"/>
          <w:sz w:val="24"/>
          <w:szCs w:val="24"/>
        </w:rPr>
        <w:t>Przy realizacji działań w ramach Plan Operacyjny na lata 2016-2017, w zależności od rodzaju operacji i typu nośnika zamieszczano następujące informacje:</w:t>
      </w:r>
    </w:p>
    <w:p w:rsidR="009809C8" w:rsidRPr="009809C8" w:rsidRDefault="009809C8" w:rsidP="009809C8">
      <w:pPr>
        <w:pStyle w:val="Akapitzlist"/>
        <w:numPr>
          <w:ilvl w:val="0"/>
          <w:numId w:val="44"/>
        </w:numPr>
        <w:jc w:val="both"/>
        <w:rPr>
          <w:rFonts w:asciiTheme="minorHAnsi" w:hAnsiTheme="minorHAnsi"/>
          <w:sz w:val="24"/>
          <w:szCs w:val="24"/>
        </w:rPr>
      </w:pPr>
      <w:r w:rsidRPr="009809C8">
        <w:rPr>
          <w:rFonts w:asciiTheme="minorHAnsi" w:hAnsiTheme="minorHAnsi"/>
          <w:sz w:val="24"/>
          <w:szCs w:val="24"/>
        </w:rPr>
        <w:t>wymagane logotypy (tj. co najmniej UE, KSOW, PROW 2014-2020) oraz slogan „Europejski Fundusz Rolny na Rzecz Rozwoju Obszarów Wiejskich: Europa Inwestująca w obszary wiejskie”</w:t>
      </w:r>
    </w:p>
    <w:p w:rsidR="001707E0" w:rsidRPr="009809C8" w:rsidRDefault="009809C8" w:rsidP="009809C8">
      <w:pPr>
        <w:pStyle w:val="Akapitzlist"/>
        <w:numPr>
          <w:ilvl w:val="0"/>
          <w:numId w:val="44"/>
        </w:numPr>
        <w:jc w:val="both"/>
        <w:rPr>
          <w:rFonts w:asciiTheme="minorHAnsi" w:hAnsiTheme="minorHAnsi"/>
          <w:sz w:val="24"/>
          <w:szCs w:val="24"/>
        </w:rPr>
      </w:pPr>
      <w:r w:rsidRPr="009809C8">
        <w:rPr>
          <w:rFonts w:asciiTheme="minorHAnsi" w:hAnsiTheme="minorHAnsi"/>
          <w:sz w:val="24"/>
          <w:szCs w:val="24"/>
        </w:rPr>
        <w:t>wymagane logotypy oraz slogany: „Europejski Fundusz Rolny na Rzecz Rozwoju Obszarów Wiejskich: Europa Inwestująca w obszary wiejskie”; Instytucja Zarządzająca Programem Rozwoju Obszarów Wiejskich na lata 2</w:t>
      </w:r>
      <w:r>
        <w:rPr>
          <w:rFonts w:asciiTheme="minorHAnsi" w:hAnsiTheme="minorHAnsi"/>
          <w:sz w:val="24"/>
          <w:szCs w:val="24"/>
        </w:rPr>
        <w:t xml:space="preserve">014 – 2020 – Minister Rolnictwa </w:t>
      </w:r>
      <w:r w:rsidRPr="009809C8">
        <w:rPr>
          <w:rFonts w:asciiTheme="minorHAnsi" w:hAnsiTheme="minorHAnsi"/>
          <w:sz w:val="24"/>
          <w:szCs w:val="24"/>
        </w:rPr>
        <w:t>i Rozwoju Wsi; Projekt/audycja/materiał/publikacja opracowana przez….; Projekt/audycja/publikacja współfinansowana ze środków Unii Europejskiej w ramach Pomocy Technicznej Programu Rozwoju Obszarów Wiejskich na lata 2014-2020”.</w:t>
      </w:r>
    </w:p>
    <w:p w:rsidR="0011480F" w:rsidRPr="00241D4D" w:rsidRDefault="0011480F" w:rsidP="00241D4D">
      <w:pPr>
        <w:spacing w:line="360" w:lineRule="auto"/>
        <w:jc w:val="both"/>
        <w:rPr>
          <w:rFonts w:ascii="Times New Roman" w:hAnsi="Times New Roman"/>
          <w:sz w:val="24"/>
          <w:szCs w:val="24"/>
        </w:rPr>
      </w:pPr>
    </w:p>
    <w:p w:rsidR="0011480F" w:rsidRDefault="00AE73BE" w:rsidP="00051080">
      <w:pPr>
        <w:pStyle w:val="Akapitzlist"/>
        <w:numPr>
          <w:ilvl w:val="0"/>
          <w:numId w:val="29"/>
        </w:numPr>
        <w:tabs>
          <w:tab w:val="clear" w:pos="720"/>
          <w:tab w:val="num" w:pos="426"/>
        </w:tabs>
        <w:spacing w:line="360" w:lineRule="auto"/>
        <w:ind w:left="426"/>
        <w:jc w:val="both"/>
        <w:rPr>
          <w:rFonts w:ascii="Times New Roman" w:hAnsi="Times New Roman"/>
          <w:i/>
          <w:sz w:val="24"/>
          <w:szCs w:val="24"/>
        </w:rPr>
      </w:pPr>
      <w:r w:rsidRPr="00AE73BE">
        <w:rPr>
          <w:rFonts w:ascii="Times New Roman" w:hAnsi="Times New Roman"/>
          <w:b/>
          <w:sz w:val="24"/>
          <w:szCs w:val="24"/>
        </w:rPr>
        <w:t xml:space="preserve">KROKI PODJĘTE W CELU REALIZACJI DZIAŁAŃ ZAPEWNIAJĄCYCH ZAANGAŻOWANIE PARTNERÓW </w:t>
      </w:r>
      <w:r w:rsidR="0011480F" w:rsidRPr="00AE73BE">
        <w:rPr>
          <w:rFonts w:ascii="Times New Roman" w:hAnsi="Times New Roman"/>
          <w:i/>
          <w:sz w:val="24"/>
          <w:szCs w:val="24"/>
        </w:rPr>
        <w:t>(o których mowa w art. 5 ust. 1 rozporządzenia (UE) nr 1303/2013)</w:t>
      </w:r>
    </w:p>
    <w:p w:rsidR="00424A16" w:rsidRPr="00424A16" w:rsidRDefault="00424A16" w:rsidP="00424A16">
      <w:pPr>
        <w:pStyle w:val="Akapitzlist"/>
        <w:ind w:left="425"/>
        <w:contextualSpacing w:val="0"/>
        <w:jc w:val="both"/>
        <w:rPr>
          <w:rFonts w:asciiTheme="minorHAnsi" w:hAnsiTheme="minorHAnsi"/>
          <w:sz w:val="24"/>
          <w:szCs w:val="24"/>
        </w:rPr>
      </w:pPr>
      <w:r w:rsidRPr="00424A16">
        <w:rPr>
          <w:rFonts w:asciiTheme="minorHAnsi" w:hAnsiTheme="minorHAnsi"/>
          <w:sz w:val="24"/>
          <w:szCs w:val="24"/>
        </w:rPr>
        <w:t xml:space="preserve">W 2015 r. ogłoszono otwarty nabór wniosków dla partnerów KSOW w ramach  PO 2016-2017 na projekty realizowane w 2016 r. W jego wyniku w 2016 r. zrealizowano 294 operacje </w:t>
      </w:r>
      <w:r w:rsidRPr="00424A16">
        <w:rPr>
          <w:rFonts w:asciiTheme="minorHAnsi" w:hAnsiTheme="minorHAnsi"/>
          <w:sz w:val="24"/>
          <w:szCs w:val="24"/>
        </w:rPr>
        <w:lastRenderedPageBreak/>
        <w:t xml:space="preserve">zgłoszone przez partnerów jednostek regionalnych oraz jedną przez partnera SIR,  </w:t>
      </w:r>
      <w:r>
        <w:rPr>
          <w:rFonts w:asciiTheme="minorHAnsi" w:hAnsiTheme="minorHAnsi"/>
          <w:sz w:val="24"/>
          <w:szCs w:val="24"/>
        </w:rPr>
        <w:br/>
      </w:r>
      <w:r w:rsidRPr="00424A16">
        <w:rPr>
          <w:rFonts w:asciiTheme="minorHAnsi" w:hAnsiTheme="minorHAnsi"/>
          <w:sz w:val="24"/>
          <w:szCs w:val="24"/>
        </w:rPr>
        <w:t>w województwie śląskim.  Łączna kwota zrealizowanych operacji to prawie 8 milionów złotych. W roku 2016 na poziomie krajowym nie realizowano projektów partnerskich w ramach planu operacyjnego. Niemniej jednak zostały podjęte i zrealizowane działania</w:t>
      </w:r>
      <w:r w:rsidR="005E6D90">
        <w:rPr>
          <w:rFonts w:asciiTheme="minorHAnsi" w:hAnsiTheme="minorHAnsi"/>
          <w:sz w:val="24"/>
          <w:szCs w:val="24"/>
        </w:rPr>
        <w:t xml:space="preserve"> polegające na zmianie aktów</w:t>
      </w:r>
      <w:r w:rsidRPr="00424A16">
        <w:rPr>
          <w:rFonts w:asciiTheme="minorHAnsi" w:hAnsiTheme="minorHAnsi"/>
          <w:sz w:val="24"/>
          <w:szCs w:val="24"/>
        </w:rPr>
        <w:t xml:space="preserve"> praw</w:t>
      </w:r>
      <w:r w:rsidR="005E6D90">
        <w:rPr>
          <w:rFonts w:asciiTheme="minorHAnsi" w:hAnsiTheme="minorHAnsi"/>
          <w:sz w:val="24"/>
          <w:szCs w:val="24"/>
        </w:rPr>
        <w:t>nych</w:t>
      </w:r>
      <w:r w:rsidRPr="00424A16">
        <w:rPr>
          <w:rFonts w:asciiTheme="minorHAnsi" w:hAnsiTheme="minorHAnsi"/>
          <w:sz w:val="24"/>
          <w:szCs w:val="24"/>
        </w:rPr>
        <w:t xml:space="preserve"> (ustawy EFRROW, rozporządzenia ds. KSOW), dokumentacji oraz procedur </w:t>
      </w:r>
      <w:r>
        <w:rPr>
          <w:rFonts w:asciiTheme="minorHAnsi" w:hAnsiTheme="minorHAnsi"/>
          <w:sz w:val="24"/>
          <w:szCs w:val="24"/>
        </w:rPr>
        <w:br/>
      </w:r>
      <w:r w:rsidRPr="00424A16">
        <w:rPr>
          <w:rFonts w:asciiTheme="minorHAnsi" w:hAnsiTheme="minorHAnsi"/>
          <w:sz w:val="24"/>
          <w:szCs w:val="24"/>
        </w:rPr>
        <w:t>w celu przeprowadzenia konkursu na wybór operacji zgłoszonych przez partnerów KSOW. Konkurs został ogłoszony w styczniu 2017 roku, tym samym rok 2016 na poziomie krajowym był okresem przejściowym, podczas którego partnerzy KSOW angażowali się w realizację działań KSOW ale bezpośrednio operacji nie realizowali.</w:t>
      </w:r>
    </w:p>
    <w:p w:rsidR="00424A16" w:rsidRPr="00424A16" w:rsidRDefault="00424A16" w:rsidP="00424A16">
      <w:pPr>
        <w:pStyle w:val="Akapitzlist"/>
        <w:ind w:left="425"/>
        <w:jc w:val="both"/>
        <w:rPr>
          <w:rFonts w:asciiTheme="minorHAnsi" w:hAnsiTheme="minorHAnsi"/>
          <w:sz w:val="24"/>
          <w:szCs w:val="24"/>
        </w:rPr>
      </w:pPr>
      <w:r w:rsidRPr="00424A16">
        <w:rPr>
          <w:rFonts w:asciiTheme="minorHAnsi" w:hAnsiTheme="minorHAnsi"/>
          <w:sz w:val="24"/>
          <w:szCs w:val="24"/>
        </w:rPr>
        <w:t>Partnerzy KSOW aktywnie uczestniczyli w operacjach własnych realizowanych przez jednostki regionalne, przykładowo:</w:t>
      </w:r>
    </w:p>
    <w:p w:rsidR="00424A16" w:rsidRPr="00424A16" w:rsidRDefault="00424A16" w:rsidP="00424A16">
      <w:pPr>
        <w:pStyle w:val="Akapitzlist"/>
        <w:numPr>
          <w:ilvl w:val="0"/>
          <w:numId w:val="45"/>
        </w:numPr>
        <w:jc w:val="both"/>
        <w:rPr>
          <w:rFonts w:asciiTheme="minorHAnsi" w:hAnsiTheme="minorHAnsi"/>
          <w:sz w:val="24"/>
          <w:szCs w:val="24"/>
        </w:rPr>
      </w:pPr>
      <w:r w:rsidRPr="00424A16">
        <w:rPr>
          <w:rFonts w:asciiTheme="minorHAnsi" w:hAnsiTheme="minorHAnsi"/>
          <w:sz w:val="24"/>
          <w:szCs w:val="24"/>
        </w:rPr>
        <w:t xml:space="preserve">W województwie wielkopolskim w większości  operacja własnych brały udział  Lokalne Grupy Działania. Były to zarówno wydarzenia krajowe, jak i zagraniczne, podczas których Lokalne Grupy Działania miały możliwość nawiązywania kontaktów, promocji regionu oraz budowania kapitału społecznego. Podczas wydarzeń takich jak: Targi </w:t>
      </w:r>
      <w:proofErr w:type="spellStart"/>
      <w:r w:rsidRPr="00424A16">
        <w:rPr>
          <w:rFonts w:asciiTheme="minorHAnsi" w:hAnsiTheme="minorHAnsi"/>
          <w:sz w:val="24"/>
          <w:szCs w:val="24"/>
        </w:rPr>
        <w:t>Agrotravel</w:t>
      </w:r>
      <w:proofErr w:type="spellEnd"/>
      <w:r w:rsidRPr="00424A16">
        <w:rPr>
          <w:rFonts w:asciiTheme="minorHAnsi" w:hAnsiTheme="minorHAnsi"/>
          <w:sz w:val="24"/>
          <w:szCs w:val="24"/>
        </w:rPr>
        <w:t xml:space="preserve">, Targi </w:t>
      </w:r>
      <w:proofErr w:type="spellStart"/>
      <w:r w:rsidRPr="00424A16">
        <w:rPr>
          <w:rFonts w:asciiTheme="minorHAnsi" w:hAnsiTheme="minorHAnsi"/>
          <w:sz w:val="24"/>
          <w:szCs w:val="24"/>
        </w:rPr>
        <w:t>Grune</w:t>
      </w:r>
      <w:proofErr w:type="spellEnd"/>
      <w:r w:rsidRPr="00424A16">
        <w:rPr>
          <w:rFonts w:asciiTheme="minorHAnsi" w:hAnsiTheme="minorHAnsi"/>
          <w:sz w:val="24"/>
          <w:szCs w:val="24"/>
        </w:rPr>
        <w:t xml:space="preserve"> </w:t>
      </w:r>
      <w:proofErr w:type="spellStart"/>
      <w:r w:rsidRPr="00424A16">
        <w:rPr>
          <w:rFonts w:asciiTheme="minorHAnsi" w:hAnsiTheme="minorHAnsi"/>
          <w:sz w:val="24"/>
          <w:szCs w:val="24"/>
        </w:rPr>
        <w:t>Woche</w:t>
      </w:r>
      <w:proofErr w:type="spellEnd"/>
      <w:r w:rsidRPr="00424A16">
        <w:rPr>
          <w:rFonts w:asciiTheme="minorHAnsi" w:hAnsiTheme="minorHAnsi"/>
          <w:sz w:val="24"/>
          <w:szCs w:val="24"/>
        </w:rPr>
        <w:t xml:space="preserve">, Targi Tour Salon, Dożynki Prezydenckie w Spale, Dzień Św. Marcina w Brukseli – grupy ze swojej strony zapewniały obecność lokalnych twórców i zespołów ludowych, promowały  lokalne produkty kulinarne oraz rękodzieło.  Współpraca z LGD miała miejsce również </w:t>
      </w:r>
      <w:r w:rsidR="005E6D90">
        <w:rPr>
          <w:rFonts w:asciiTheme="minorHAnsi" w:hAnsiTheme="minorHAnsi"/>
          <w:sz w:val="24"/>
          <w:szCs w:val="24"/>
        </w:rPr>
        <w:t xml:space="preserve">w </w:t>
      </w:r>
      <w:r w:rsidRPr="00424A16">
        <w:rPr>
          <w:rFonts w:asciiTheme="minorHAnsi" w:hAnsiTheme="minorHAnsi"/>
          <w:sz w:val="24"/>
          <w:szCs w:val="24"/>
        </w:rPr>
        <w:t xml:space="preserve">przypadku spotkań z delegacjami regionów partnerskich </w:t>
      </w:r>
      <w:r>
        <w:rPr>
          <w:rFonts w:asciiTheme="minorHAnsi" w:hAnsiTheme="minorHAnsi"/>
          <w:sz w:val="24"/>
          <w:szCs w:val="24"/>
        </w:rPr>
        <w:br/>
      </w:r>
      <w:r w:rsidRPr="00424A16">
        <w:rPr>
          <w:rFonts w:asciiTheme="minorHAnsi" w:hAnsiTheme="minorHAnsi"/>
          <w:sz w:val="24"/>
          <w:szCs w:val="24"/>
        </w:rPr>
        <w:t>z zagranicy odwiedzających Wielkopolskę.</w:t>
      </w:r>
    </w:p>
    <w:p w:rsidR="00424A16" w:rsidRPr="00424A16" w:rsidRDefault="00424A16" w:rsidP="00424A16">
      <w:pPr>
        <w:pStyle w:val="Akapitzlist"/>
        <w:numPr>
          <w:ilvl w:val="0"/>
          <w:numId w:val="45"/>
        </w:numPr>
        <w:jc w:val="both"/>
        <w:rPr>
          <w:rFonts w:asciiTheme="minorHAnsi" w:hAnsiTheme="minorHAnsi"/>
          <w:sz w:val="24"/>
          <w:szCs w:val="24"/>
        </w:rPr>
      </w:pPr>
      <w:r w:rsidRPr="00424A16">
        <w:rPr>
          <w:rFonts w:asciiTheme="minorHAnsi" w:hAnsiTheme="minorHAnsi"/>
          <w:sz w:val="24"/>
          <w:szCs w:val="24"/>
        </w:rPr>
        <w:t xml:space="preserve">Na konkurs „Wieś na weekend”, który był operacją własną województwa kujawsko-pomorskiego wpłynęło 88 wniosków od partnerów, z których do realizacji skierowano 26 projektów. Konkurs dotyczył organizacji lokalnych imprez weekendowych, które miały na celu aktywizację lokalnej społeczności do działań partnerskich.  </w:t>
      </w:r>
    </w:p>
    <w:p w:rsidR="00424A16" w:rsidRPr="00424A16" w:rsidRDefault="00424A16" w:rsidP="00424A16">
      <w:pPr>
        <w:ind w:left="426"/>
        <w:jc w:val="both"/>
        <w:rPr>
          <w:rFonts w:asciiTheme="minorHAnsi" w:hAnsiTheme="minorHAnsi"/>
          <w:sz w:val="24"/>
          <w:szCs w:val="24"/>
        </w:rPr>
      </w:pPr>
      <w:r w:rsidRPr="00424A16">
        <w:rPr>
          <w:rFonts w:asciiTheme="minorHAnsi" w:hAnsiTheme="minorHAnsi"/>
          <w:sz w:val="24"/>
          <w:szCs w:val="24"/>
        </w:rPr>
        <w:t>W województwach: małopolskim, opolskim i pomorskim odbyły się spotkania z partnerami / potencjalnymi partnerami KSOW. Celem tych spotkań było przybliżenie specyfiki zadań realizowanych w JR KSOW oraz form współpracy.</w:t>
      </w:r>
    </w:p>
    <w:p w:rsidR="00424A16" w:rsidRPr="00424A16" w:rsidRDefault="00424A16" w:rsidP="00424A16">
      <w:pPr>
        <w:pStyle w:val="Akapitzlist"/>
        <w:ind w:left="425"/>
        <w:contextualSpacing w:val="0"/>
        <w:jc w:val="both"/>
        <w:rPr>
          <w:rFonts w:asciiTheme="minorHAnsi" w:hAnsiTheme="minorHAnsi"/>
          <w:sz w:val="24"/>
          <w:szCs w:val="24"/>
        </w:rPr>
      </w:pPr>
      <w:r w:rsidRPr="00424A16">
        <w:rPr>
          <w:rFonts w:asciiTheme="minorHAnsi" w:hAnsiTheme="minorHAnsi"/>
          <w:sz w:val="24"/>
          <w:szCs w:val="24"/>
        </w:rPr>
        <w:t xml:space="preserve">Do informowania partnerów o możliwości realizacji operacji, udziału w operacjach własnych oraz wydarzeniach w ramach sieci wykorzystywano narzędzia internetowe: </w:t>
      </w:r>
      <w:r>
        <w:rPr>
          <w:rFonts w:asciiTheme="minorHAnsi" w:hAnsiTheme="minorHAnsi"/>
          <w:sz w:val="24"/>
          <w:szCs w:val="24"/>
        </w:rPr>
        <w:t xml:space="preserve">zarówno </w:t>
      </w:r>
      <w:r w:rsidRPr="00424A16">
        <w:rPr>
          <w:rFonts w:asciiTheme="minorHAnsi" w:hAnsiTheme="minorHAnsi"/>
          <w:sz w:val="24"/>
          <w:szCs w:val="24"/>
        </w:rPr>
        <w:t>portal ksow.pl jak i strony własne je</w:t>
      </w:r>
      <w:r>
        <w:rPr>
          <w:rFonts w:asciiTheme="minorHAnsi" w:hAnsiTheme="minorHAnsi"/>
          <w:sz w:val="24"/>
          <w:szCs w:val="24"/>
        </w:rPr>
        <w:t>dnostek oraz wysyłano informacje</w:t>
      </w:r>
      <w:r w:rsidRPr="00424A16">
        <w:rPr>
          <w:rFonts w:asciiTheme="minorHAnsi" w:hAnsiTheme="minorHAnsi"/>
          <w:sz w:val="24"/>
          <w:szCs w:val="24"/>
        </w:rPr>
        <w:t xml:space="preserve"> bezpośred</w:t>
      </w:r>
      <w:r>
        <w:rPr>
          <w:rFonts w:asciiTheme="minorHAnsi" w:hAnsiTheme="minorHAnsi"/>
          <w:sz w:val="24"/>
          <w:szCs w:val="24"/>
        </w:rPr>
        <w:t xml:space="preserve">nio na skrzynki email partnerów. </w:t>
      </w:r>
      <w:r w:rsidRPr="00424A16">
        <w:rPr>
          <w:rFonts w:asciiTheme="minorHAnsi" w:hAnsiTheme="minorHAnsi"/>
          <w:sz w:val="24"/>
          <w:szCs w:val="24"/>
        </w:rPr>
        <w:t>JR województwa mazowieckiego wydawała cykliczny new</w:t>
      </w:r>
      <w:r>
        <w:rPr>
          <w:rFonts w:asciiTheme="minorHAnsi" w:hAnsiTheme="minorHAnsi"/>
          <w:sz w:val="24"/>
          <w:szCs w:val="24"/>
        </w:rPr>
        <w:t xml:space="preserve">sletter z aktualnościami KSOW. </w:t>
      </w:r>
    </w:p>
    <w:p w:rsidR="00424A16" w:rsidRPr="00424A16" w:rsidRDefault="00424A16" w:rsidP="00424A16">
      <w:pPr>
        <w:pStyle w:val="Akapitzlist"/>
        <w:ind w:left="425"/>
        <w:contextualSpacing w:val="0"/>
        <w:jc w:val="both"/>
        <w:rPr>
          <w:rFonts w:asciiTheme="minorHAnsi" w:hAnsiTheme="minorHAnsi"/>
          <w:sz w:val="24"/>
          <w:szCs w:val="24"/>
        </w:rPr>
      </w:pPr>
      <w:r w:rsidRPr="00424A16">
        <w:rPr>
          <w:rFonts w:asciiTheme="minorHAnsi" w:hAnsiTheme="minorHAnsi"/>
          <w:sz w:val="24"/>
          <w:szCs w:val="24"/>
        </w:rPr>
        <w:t>We wszystkich jednostkach regionalnych działają Wojewódzkie Grupy Robocze ds. KSOW,  pełniących rolę organu opiniodawczo-doradczego, w skład którego wchodzą przedstawiciele sektora prywatnego (przedsiębiorcy), organizacji pozarządowych, instytucji naukowych, samorządu terytorialnego oraz  Lokalnych Grup Działania. Do zadań wojewódzkich grup roboczych</w:t>
      </w:r>
      <w:r>
        <w:rPr>
          <w:rFonts w:asciiTheme="minorHAnsi" w:hAnsiTheme="minorHAnsi"/>
          <w:sz w:val="24"/>
          <w:szCs w:val="24"/>
        </w:rPr>
        <w:t xml:space="preserve"> m.in.</w:t>
      </w:r>
      <w:r w:rsidRPr="00424A16">
        <w:rPr>
          <w:rFonts w:asciiTheme="minorHAnsi" w:hAnsiTheme="minorHAnsi"/>
          <w:sz w:val="24"/>
          <w:szCs w:val="24"/>
        </w:rPr>
        <w:t xml:space="preserve"> należy zapewnienie wymiany wiedzy tematycznej, analitycznej i ułatwianie współ</w:t>
      </w:r>
      <w:r>
        <w:rPr>
          <w:rFonts w:asciiTheme="minorHAnsi" w:hAnsiTheme="minorHAnsi"/>
          <w:sz w:val="24"/>
          <w:szCs w:val="24"/>
        </w:rPr>
        <w:t>pracy pomiędzy partnerami KSOW.</w:t>
      </w:r>
    </w:p>
    <w:p w:rsidR="00424A16" w:rsidRPr="00424A16" w:rsidRDefault="00424A16" w:rsidP="00424A16">
      <w:pPr>
        <w:pStyle w:val="Akapitzlist"/>
        <w:ind w:left="425"/>
        <w:jc w:val="both"/>
        <w:rPr>
          <w:rFonts w:asciiTheme="minorHAnsi" w:hAnsiTheme="minorHAnsi"/>
          <w:sz w:val="24"/>
          <w:szCs w:val="24"/>
        </w:rPr>
      </w:pPr>
      <w:r w:rsidRPr="00424A16">
        <w:rPr>
          <w:rFonts w:asciiTheme="minorHAnsi" w:hAnsiTheme="minorHAnsi"/>
          <w:sz w:val="24"/>
          <w:szCs w:val="24"/>
        </w:rPr>
        <w:lastRenderedPageBreak/>
        <w:t xml:space="preserve">Centrum Doradztwa Rolniczego w Brwinowie oraz Wojewódzkie Ośrodki Doradztwa Rolniczego w ramach operacji własnych zaangażowano jednostki badawczo-naukowe, przedsiębiorstwa, rolników – partnerów KSOW. Przeprowadziły kampanię promocyjną SIR, zachęcającą </w:t>
      </w:r>
      <w:r>
        <w:rPr>
          <w:rFonts w:asciiTheme="minorHAnsi" w:hAnsiTheme="minorHAnsi"/>
          <w:sz w:val="24"/>
          <w:szCs w:val="24"/>
        </w:rPr>
        <w:br/>
      </w:r>
      <w:r w:rsidRPr="00424A16">
        <w:rPr>
          <w:rFonts w:asciiTheme="minorHAnsi" w:hAnsiTheme="minorHAnsi"/>
          <w:sz w:val="24"/>
          <w:szCs w:val="24"/>
        </w:rPr>
        <w:t xml:space="preserve">do partnerstwa w ramach SIR i rejestracji w bazie partnerów SIR, wysłano zaproszenia </w:t>
      </w:r>
      <w:r>
        <w:rPr>
          <w:rFonts w:asciiTheme="minorHAnsi" w:hAnsiTheme="minorHAnsi"/>
          <w:sz w:val="24"/>
          <w:szCs w:val="24"/>
        </w:rPr>
        <w:br/>
      </w:r>
      <w:r w:rsidRPr="00424A16">
        <w:rPr>
          <w:rFonts w:asciiTheme="minorHAnsi" w:hAnsiTheme="minorHAnsi"/>
          <w:sz w:val="24"/>
          <w:szCs w:val="24"/>
        </w:rPr>
        <w:t xml:space="preserve">do potencjalnych partnerów i przeprowadzono spotkania z zainteresowanymi podmiotami. </w:t>
      </w:r>
      <w:r>
        <w:rPr>
          <w:rFonts w:asciiTheme="minorHAnsi" w:hAnsiTheme="minorHAnsi"/>
          <w:sz w:val="24"/>
          <w:szCs w:val="24"/>
        </w:rPr>
        <w:br/>
      </w:r>
      <w:r w:rsidRPr="00424A16">
        <w:rPr>
          <w:rFonts w:asciiTheme="minorHAnsi" w:hAnsiTheme="minorHAnsi"/>
          <w:sz w:val="24"/>
          <w:szCs w:val="24"/>
        </w:rPr>
        <w:t xml:space="preserve">31 grudnia 2016 r. baza partnerów SIR </w:t>
      </w:r>
      <w:r>
        <w:rPr>
          <w:rFonts w:asciiTheme="minorHAnsi" w:hAnsiTheme="minorHAnsi"/>
          <w:sz w:val="24"/>
          <w:szCs w:val="24"/>
        </w:rPr>
        <w:t>liczyła</w:t>
      </w:r>
      <w:r w:rsidRPr="00424A16">
        <w:rPr>
          <w:rFonts w:asciiTheme="minorHAnsi" w:hAnsiTheme="minorHAnsi"/>
          <w:sz w:val="24"/>
          <w:szCs w:val="24"/>
        </w:rPr>
        <w:t xml:space="preserve"> 366 podmiotów.</w:t>
      </w:r>
    </w:p>
    <w:p w:rsidR="0011480F" w:rsidRPr="00241D4D" w:rsidRDefault="0011480F" w:rsidP="00241D4D">
      <w:pPr>
        <w:spacing w:line="360" w:lineRule="auto"/>
        <w:jc w:val="both"/>
        <w:rPr>
          <w:rFonts w:ascii="Times New Roman" w:hAnsi="Times New Roman"/>
          <w:sz w:val="24"/>
          <w:szCs w:val="24"/>
        </w:rPr>
      </w:pPr>
    </w:p>
    <w:p w:rsidR="0011480F" w:rsidRDefault="00AE73BE" w:rsidP="00051080">
      <w:pPr>
        <w:pStyle w:val="Akapitzlist"/>
        <w:numPr>
          <w:ilvl w:val="0"/>
          <w:numId w:val="29"/>
        </w:numPr>
        <w:tabs>
          <w:tab w:val="clear" w:pos="720"/>
          <w:tab w:val="num" w:pos="426"/>
        </w:tabs>
        <w:spacing w:line="360" w:lineRule="auto"/>
        <w:ind w:left="426"/>
        <w:jc w:val="both"/>
        <w:rPr>
          <w:rFonts w:ascii="Times New Roman" w:hAnsi="Times New Roman"/>
          <w:b/>
          <w:sz w:val="24"/>
          <w:szCs w:val="24"/>
        </w:rPr>
      </w:pPr>
      <w:r w:rsidRPr="00241D4D">
        <w:rPr>
          <w:rFonts w:ascii="Times New Roman" w:hAnsi="Times New Roman"/>
          <w:b/>
          <w:sz w:val="24"/>
          <w:szCs w:val="24"/>
        </w:rPr>
        <w:t>INFORMACJA O PRZEPROWADZONYCH KONTROLACH W RAMACH REALIZACJI PLANÓW OPERACYJNYCH ORAZ ICH WYNIKÓW</w:t>
      </w:r>
    </w:p>
    <w:p w:rsidR="00051080" w:rsidRPr="009809C8" w:rsidRDefault="00051080" w:rsidP="009809C8">
      <w:pPr>
        <w:ind w:left="426"/>
        <w:jc w:val="both"/>
        <w:rPr>
          <w:sz w:val="24"/>
          <w:szCs w:val="24"/>
        </w:rPr>
      </w:pPr>
      <w:r w:rsidRPr="009809C8">
        <w:rPr>
          <w:sz w:val="24"/>
          <w:szCs w:val="24"/>
        </w:rPr>
        <w:t>W 2016 r. w jednostce regionalnej województwa pomorskiego została przeprowadzona kontrola przez Pomorski Urząd Wojewódzki, której zakres obejmował m.in. działania zrealizowane w ramach Planu operacyjnego 2014-2015. Kontrola otrzymała wynik pozytywny –</w:t>
      </w:r>
      <w:r w:rsidR="00421AC0">
        <w:rPr>
          <w:sz w:val="24"/>
          <w:szCs w:val="24"/>
        </w:rPr>
        <w:t xml:space="preserve"> nie stwierdzono żadnych uchybień</w:t>
      </w:r>
      <w:r w:rsidRPr="009809C8">
        <w:rPr>
          <w:sz w:val="24"/>
          <w:szCs w:val="24"/>
        </w:rPr>
        <w:t xml:space="preserve">. </w:t>
      </w:r>
    </w:p>
    <w:p w:rsidR="0011480F" w:rsidRPr="009809C8" w:rsidRDefault="00051080" w:rsidP="009809C8">
      <w:pPr>
        <w:ind w:left="426"/>
        <w:jc w:val="both"/>
        <w:rPr>
          <w:sz w:val="24"/>
          <w:szCs w:val="24"/>
        </w:rPr>
      </w:pPr>
      <w:r w:rsidRPr="009809C8">
        <w:rPr>
          <w:sz w:val="24"/>
          <w:szCs w:val="24"/>
        </w:rPr>
        <w:t>W przypadku pozostałych jednostek regionalnych, Instytucji Zarządza</w:t>
      </w:r>
      <w:r w:rsidR="00095BF4">
        <w:rPr>
          <w:sz w:val="24"/>
          <w:szCs w:val="24"/>
        </w:rPr>
        <w:t>jącej, agencji płatniczych oraz</w:t>
      </w:r>
      <w:r w:rsidRPr="009809C8">
        <w:rPr>
          <w:sz w:val="24"/>
          <w:szCs w:val="24"/>
        </w:rPr>
        <w:t xml:space="preserve"> Centrum Doradztwa Rolniczego wraz z wojewódzkimi ośrodkami doradztwa rolniczego, żaden z ww. podmiotów nie był kontrolowany w ramach realizacji planów operacyjnych.</w:t>
      </w:r>
    </w:p>
    <w:sectPr w:rsidR="0011480F" w:rsidRPr="009809C8" w:rsidSect="00BE3A9B">
      <w:footerReference w:type="default" r:id="rId23"/>
      <w:pgSz w:w="11906" w:h="16838"/>
      <w:pgMar w:top="1418" w:right="99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299" w:rsidRDefault="00841299" w:rsidP="00A0259E">
      <w:pPr>
        <w:spacing w:after="0" w:line="240" w:lineRule="auto"/>
      </w:pPr>
      <w:r>
        <w:separator/>
      </w:r>
    </w:p>
  </w:endnote>
  <w:endnote w:type="continuationSeparator" w:id="0">
    <w:p w:rsidR="00841299" w:rsidRDefault="00841299" w:rsidP="00A0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EB" w:rsidRDefault="0060725F">
    <w:pPr>
      <w:pStyle w:val="Stopka"/>
      <w:jc w:val="center"/>
    </w:pPr>
    <w:r>
      <w:fldChar w:fldCharType="begin"/>
    </w:r>
    <w:r w:rsidR="00C51AEB">
      <w:instrText>PAGE   \* MERGEFORMAT</w:instrText>
    </w:r>
    <w:r>
      <w:fldChar w:fldCharType="separate"/>
    </w:r>
    <w:r w:rsidR="001D6C34">
      <w:rPr>
        <w:noProof/>
      </w:rPr>
      <w:t>9</w:t>
    </w:r>
    <w:r>
      <w:rPr>
        <w:noProof/>
      </w:rPr>
      <w:fldChar w:fldCharType="end"/>
    </w:r>
  </w:p>
  <w:p w:rsidR="00C51AEB" w:rsidRDefault="00C51A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299" w:rsidRDefault="00841299" w:rsidP="00A0259E">
      <w:pPr>
        <w:spacing w:after="0" w:line="240" w:lineRule="auto"/>
      </w:pPr>
      <w:r>
        <w:separator/>
      </w:r>
    </w:p>
  </w:footnote>
  <w:footnote w:type="continuationSeparator" w:id="0">
    <w:p w:rsidR="00841299" w:rsidRDefault="00841299" w:rsidP="00A0259E">
      <w:pPr>
        <w:spacing w:after="0" w:line="240" w:lineRule="auto"/>
      </w:pPr>
      <w:r>
        <w:continuationSeparator/>
      </w:r>
    </w:p>
  </w:footnote>
  <w:footnote w:id="1">
    <w:p w:rsidR="00AB22FF" w:rsidRDefault="00AB22FF">
      <w:pPr>
        <w:pStyle w:val="Tekstprzypisudolnego"/>
      </w:pPr>
      <w:r>
        <w:rPr>
          <w:rStyle w:val="Odwoanieprzypisudolnego"/>
        </w:rPr>
        <w:footnoteRef/>
      </w:r>
      <w:r>
        <w:t xml:space="preserve"> W dalszej części sprawozdania zwanego Rozporządzeniem.</w:t>
      </w:r>
    </w:p>
  </w:footnote>
  <w:footnote w:id="2">
    <w:p w:rsidR="004705A2" w:rsidRDefault="004705A2">
      <w:pPr>
        <w:pStyle w:val="Tekstprzypisudolnego"/>
      </w:pPr>
      <w:r>
        <w:rPr>
          <w:rStyle w:val="Odwoanieprzypisudolnego"/>
        </w:rPr>
        <w:footnoteRef/>
      </w:r>
      <w:r>
        <w:t xml:space="preserve"> Do przeliczenia na złote przyjęto kurs EURO/PLN Europejskiego Banku Centralnego z dnia 28.04.2017 – 4,2224.</w:t>
      </w:r>
    </w:p>
  </w:footnote>
  <w:footnote w:id="3">
    <w:p w:rsidR="00AB22FF" w:rsidRDefault="00AB22FF">
      <w:pPr>
        <w:pStyle w:val="Tekstprzypisudolnego"/>
      </w:pPr>
      <w:r>
        <w:rPr>
          <w:rStyle w:val="Odwoanieprzypisudolnego"/>
        </w:rPr>
        <w:footnoteRef/>
      </w:r>
      <w:r>
        <w:t xml:space="preserve"> Poniesione koszty na funkcjonowanie pobrano z Tabeli 8 Załącznika 2 do sprawozdania.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417"/>
    <w:multiLevelType w:val="hybridMultilevel"/>
    <w:tmpl w:val="50A66E6A"/>
    <w:lvl w:ilvl="0" w:tplc="31666594">
      <w:start w:val="6"/>
      <w:numFmt w:val="decimal"/>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81E089D"/>
    <w:multiLevelType w:val="hybridMultilevel"/>
    <w:tmpl w:val="5A722C3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0C3447C5"/>
    <w:multiLevelType w:val="hybridMultilevel"/>
    <w:tmpl w:val="7766E412"/>
    <w:lvl w:ilvl="0" w:tplc="0EF063A2">
      <w:start w:val="1"/>
      <w:numFmt w:val="lowerLetter"/>
      <w:lvlText w:val="%1)"/>
      <w:lvlJc w:val="left"/>
      <w:pPr>
        <w:ind w:left="1495" w:hanging="360"/>
      </w:pPr>
      <w:rPr>
        <w:rFonts w:cs="Times New Roman" w:hint="default"/>
        <w:color w:val="auto"/>
      </w:rPr>
    </w:lvl>
    <w:lvl w:ilvl="1" w:tplc="04150019" w:tentative="1">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3">
    <w:nsid w:val="10402BEB"/>
    <w:multiLevelType w:val="hybridMultilevel"/>
    <w:tmpl w:val="3658562C"/>
    <w:lvl w:ilvl="0" w:tplc="39780536">
      <w:start w:val="4"/>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10C2F05"/>
    <w:multiLevelType w:val="hybridMultilevel"/>
    <w:tmpl w:val="1C6CA22C"/>
    <w:lvl w:ilvl="0" w:tplc="8144B584">
      <w:start w:val="1"/>
      <w:numFmt w:val="bullet"/>
      <w:lvlText w:val=""/>
      <w:lvlJc w:val="left"/>
      <w:pPr>
        <w:ind w:left="952" w:hanging="360"/>
      </w:pPr>
      <w:rPr>
        <w:rFonts w:ascii="Symbol" w:hAnsi="Symbol" w:hint="default"/>
      </w:rPr>
    </w:lvl>
    <w:lvl w:ilvl="1" w:tplc="04150003" w:tentative="1">
      <w:start w:val="1"/>
      <w:numFmt w:val="bullet"/>
      <w:lvlText w:val="o"/>
      <w:lvlJc w:val="left"/>
      <w:pPr>
        <w:ind w:left="1672" w:hanging="360"/>
      </w:pPr>
      <w:rPr>
        <w:rFonts w:ascii="Courier New" w:hAnsi="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5">
    <w:nsid w:val="14B055DD"/>
    <w:multiLevelType w:val="hybridMultilevel"/>
    <w:tmpl w:val="A1BC262C"/>
    <w:lvl w:ilvl="0" w:tplc="7A36FA66">
      <w:start w:val="1"/>
      <w:numFmt w:val="decimal"/>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nsid w:val="1A85203A"/>
    <w:multiLevelType w:val="hybridMultilevel"/>
    <w:tmpl w:val="8FA8B7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C4955DB"/>
    <w:multiLevelType w:val="hybridMultilevel"/>
    <w:tmpl w:val="CBBC614A"/>
    <w:lvl w:ilvl="0" w:tplc="BD783BBC">
      <w:start w:val="1"/>
      <w:numFmt w:val="lowerLetter"/>
      <w:lvlText w:val="%1)"/>
      <w:lvlJc w:val="left"/>
      <w:pPr>
        <w:ind w:left="1211" w:hanging="360"/>
      </w:pPr>
      <w:rPr>
        <w:rFonts w:cs="Times New Roman" w:hint="default"/>
        <w:i w:val="0"/>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8">
    <w:nsid w:val="1C6C1BEE"/>
    <w:multiLevelType w:val="hybridMultilevel"/>
    <w:tmpl w:val="3A229514"/>
    <w:lvl w:ilvl="0" w:tplc="04150017">
      <w:start w:val="1"/>
      <w:numFmt w:val="lowerLetter"/>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1CD30E53"/>
    <w:multiLevelType w:val="hybridMultilevel"/>
    <w:tmpl w:val="8FA8B7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D6E3304"/>
    <w:multiLevelType w:val="hybridMultilevel"/>
    <w:tmpl w:val="AC165A46"/>
    <w:lvl w:ilvl="0" w:tplc="04B87D2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1E59040A"/>
    <w:multiLevelType w:val="hybridMultilevel"/>
    <w:tmpl w:val="35CE97E2"/>
    <w:lvl w:ilvl="0" w:tplc="B8B2371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0547AB8"/>
    <w:multiLevelType w:val="hybridMultilevel"/>
    <w:tmpl w:val="69C2A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1C53967"/>
    <w:multiLevelType w:val="hybridMultilevel"/>
    <w:tmpl w:val="CA303FB4"/>
    <w:lvl w:ilvl="0" w:tplc="0415000F">
      <w:start w:val="1"/>
      <w:numFmt w:val="decimal"/>
      <w:lvlText w:val="%1."/>
      <w:lvlJc w:val="left"/>
      <w:pPr>
        <w:ind w:left="1146" w:hanging="360"/>
      </w:pPr>
      <w:rPr>
        <w:rFonts w:cs="Times New Roman"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25A43009"/>
    <w:multiLevelType w:val="hybridMultilevel"/>
    <w:tmpl w:val="DFBE02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27C14CD9"/>
    <w:multiLevelType w:val="hybridMultilevel"/>
    <w:tmpl w:val="0C6AC41A"/>
    <w:lvl w:ilvl="0" w:tplc="E548BA92">
      <w:start w:val="1"/>
      <w:numFmt w:val="decimal"/>
      <w:lvlText w:val="%1)"/>
      <w:lvlJc w:val="left"/>
      <w:pPr>
        <w:ind w:left="1080" w:hanging="360"/>
      </w:pPr>
      <w:rPr>
        <w:rFonts w:ascii="Calibri" w:eastAsia="Times New Roman" w:hAnsi="Calibri" w:cs="Times New Roman" w:hint="default"/>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nsid w:val="2EE8282F"/>
    <w:multiLevelType w:val="hybridMultilevel"/>
    <w:tmpl w:val="974241CA"/>
    <w:lvl w:ilvl="0" w:tplc="4D40F682">
      <w:start w:val="1"/>
      <w:numFmt w:val="decimal"/>
      <w:lvlText w:val="%1."/>
      <w:lvlJc w:val="left"/>
      <w:pPr>
        <w:ind w:left="720" w:hanging="360"/>
      </w:pPr>
      <w:rPr>
        <w:rFonts w:cs="Times New Roman"/>
        <w:b/>
        <w:i w:val="0"/>
        <w:color w:val="auto"/>
      </w:rPr>
    </w:lvl>
    <w:lvl w:ilvl="1" w:tplc="50880AFA">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5182A7B"/>
    <w:multiLevelType w:val="hybridMultilevel"/>
    <w:tmpl w:val="65DE69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8B008A3"/>
    <w:multiLevelType w:val="hybridMultilevel"/>
    <w:tmpl w:val="00006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CE72278"/>
    <w:multiLevelType w:val="hybridMultilevel"/>
    <w:tmpl w:val="13ECA1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F2066CF"/>
    <w:multiLevelType w:val="hybridMultilevel"/>
    <w:tmpl w:val="16D2C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FDD4C88"/>
    <w:multiLevelType w:val="hybridMultilevel"/>
    <w:tmpl w:val="BC22E9E4"/>
    <w:lvl w:ilvl="0" w:tplc="7FD453D6">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EA2DC1"/>
    <w:multiLevelType w:val="hybridMultilevel"/>
    <w:tmpl w:val="F1027160"/>
    <w:lvl w:ilvl="0" w:tplc="D834F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A3E78AB"/>
    <w:multiLevelType w:val="hybridMultilevel"/>
    <w:tmpl w:val="0FA6D1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4BCB0156"/>
    <w:multiLevelType w:val="hybridMultilevel"/>
    <w:tmpl w:val="154411B4"/>
    <w:lvl w:ilvl="0" w:tplc="B922BE5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nsid w:val="4CE35D8A"/>
    <w:multiLevelType w:val="hybridMultilevel"/>
    <w:tmpl w:val="7F986E4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nsid w:val="4FCF734C"/>
    <w:multiLevelType w:val="hybridMultilevel"/>
    <w:tmpl w:val="8806F7F0"/>
    <w:lvl w:ilvl="0" w:tplc="3E34DA2C">
      <w:start w:val="3"/>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532211E7"/>
    <w:multiLevelType w:val="hybridMultilevel"/>
    <w:tmpl w:val="8FA8B7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40B6F90"/>
    <w:multiLevelType w:val="hybridMultilevel"/>
    <w:tmpl w:val="E8ACC7FA"/>
    <w:lvl w:ilvl="0" w:tplc="3C24A3BA">
      <w:start w:val="5"/>
      <w:numFmt w:val="decimal"/>
      <w:lvlText w:val="%1."/>
      <w:lvlJc w:val="left"/>
      <w:pPr>
        <w:ind w:left="108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4EA4E43"/>
    <w:multiLevelType w:val="hybridMultilevel"/>
    <w:tmpl w:val="81F6339E"/>
    <w:lvl w:ilvl="0" w:tplc="8910AD8C">
      <w:start w:val="1"/>
      <w:numFmt w:val="decimal"/>
      <w:lvlText w:val="%1)"/>
      <w:lvlJc w:val="left"/>
      <w:pPr>
        <w:ind w:left="1776" w:hanging="135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559B655C"/>
    <w:multiLevelType w:val="hybridMultilevel"/>
    <w:tmpl w:val="97867216"/>
    <w:lvl w:ilvl="0" w:tplc="04150011">
      <w:start w:val="1"/>
      <w:numFmt w:val="decimal"/>
      <w:lvlText w:val="%1)"/>
      <w:lvlJc w:val="left"/>
      <w:pPr>
        <w:ind w:left="1146" w:hanging="360"/>
      </w:pPr>
      <w:rPr>
        <w:rFonts w:cs="Times New Roman"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579423BE"/>
    <w:multiLevelType w:val="hybridMultilevel"/>
    <w:tmpl w:val="D910B9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586F53F8"/>
    <w:multiLevelType w:val="hybridMultilevel"/>
    <w:tmpl w:val="52DEA0CC"/>
    <w:lvl w:ilvl="0" w:tplc="04150001">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3">
    <w:nsid w:val="59F12C6B"/>
    <w:multiLevelType w:val="hybridMultilevel"/>
    <w:tmpl w:val="0540D12E"/>
    <w:lvl w:ilvl="0" w:tplc="F4C027BE">
      <w:start w:val="1"/>
      <w:numFmt w:val="decimal"/>
      <w:lvlText w:val="%1."/>
      <w:lvlJc w:val="left"/>
      <w:pPr>
        <w:tabs>
          <w:tab w:val="num" w:pos="720"/>
        </w:tabs>
        <w:ind w:left="720" w:hanging="360"/>
      </w:pPr>
      <w:rPr>
        <w:rFonts w:cs="Times New Roman" w:hint="default"/>
        <w:b/>
        <w:i w:val="0"/>
      </w:rPr>
    </w:lvl>
    <w:lvl w:ilvl="1" w:tplc="4DCC1E4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AD61719"/>
    <w:multiLevelType w:val="hybridMultilevel"/>
    <w:tmpl w:val="9FC24808"/>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5E105F1A"/>
    <w:multiLevelType w:val="hybridMultilevel"/>
    <w:tmpl w:val="17E8A52C"/>
    <w:lvl w:ilvl="0" w:tplc="0415000F">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621B035E"/>
    <w:multiLevelType w:val="hybridMultilevel"/>
    <w:tmpl w:val="41BC3632"/>
    <w:lvl w:ilvl="0" w:tplc="7EE6BEA6">
      <w:start w:val="1"/>
      <w:numFmt w:val="lowerLetter"/>
      <w:lvlText w:val="%1)"/>
      <w:lvlJc w:val="left"/>
      <w:pPr>
        <w:ind w:left="1440" w:hanging="360"/>
      </w:pPr>
      <w:rPr>
        <w:rFonts w:cs="Times New Roman"/>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nsid w:val="632D76B5"/>
    <w:multiLevelType w:val="hybridMultilevel"/>
    <w:tmpl w:val="8FA8B7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9CE489A"/>
    <w:multiLevelType w:val="hybridMultilevel"/>
    <w:tmpl w:val="187814EE"/>
    <w:lvl w:ilvl="0" w:tplc="6D40A1BA">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6CC21BCE"/>
    <w:multiLevelType w:val="hybridMultilevel"/>
    <w:tmpl w:val="ACDC147E"/>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nsid w:val="6D693300"/>
    <w:multiLevelType w:val="hybridMultilevel"/>
    <w:tmpl w:val="9B660220"/>
    <w:lvl w:ilvl="0" w:tplc="EF4833B4">
      <w:start w:val="1"/>
      <w:numFmt w:val="decimal"/>
      <w:lvlText w:val="%1."/>
      <w:lvlJc w:val="left"/>
      <w:pPr>
        <w:tabs>
          <w:tab w:val="num" w:pos="720"/>
        </w:tabs>
        <w:ind w:left="720" w:hanging="360"/>
      </w:pPr>
      <w:rPr>
        <w:rFonts w:cs="Times New Roman"/>
      </w:rPr>
    </w:lvl>
    <w:lvl w:ilvl="1" w:tplc="F7B4695C" w:tentative="1">
      <w:start w:val="1"/>
      <w:numFmt w:val="decimal"/>
      <w:lvlText w:val="%2."/>
      <w:lvlJc w:val="left"/>
      <w:pPr>
        <w:tabs>
          <w:tab w:val="num" w:pos="1440"/>
        </w:tabs>
        <w:ind w:left="1440" w:hanging="360"/>
      </w:pPr>
      <w:rPr>
        <w:rFonts w:cs="Times New Roman"/>
      </w:rPr>
    </w:lvl>
    <w:lvl w:ilvl="2" w:tplc="548CD8FA" w:tentative="1">
      <w:start w:val="1"/>
      <w:numFmt w:val="decimal"/>
      <w:lvlText w:val="%3."/>
      <w:lvlJc w:val="left"/>
      <w:pPr>
        <w:tabs>
          <w:tab w:val="num" w:pos="2160"/>
        </w:tabs>
        <w:ind w:left="2160" w:hanging="360"/>
      </w:pPr>
      <w:rPr>
        <w:rFonts w:cs="Times New Roman"/>
      </w:rPr>
    </w:lvl>
    <w:lvl w:ilvl="3" w:tplc="A0625BC8" w:tentative="1">
      <w:start w:val="1"/>
      <w:numFmt w:val="decimal"/>
      <w:lvlText w:val="%4."/>
      <w:lvlJc w:val="left"/>
      <w:pPr>
        <w:tabs>
          <w:tab w:val="num" w:pos="2880"/>
        </w:tabs>
        <w:ind w:left="2880" w:hanging="360"/>
      </w:pPr>
      <w:rPr>
        <w:rFonts w:cs="Times New Roman"/>
      </w:rPr>
    </w:lvl>
    <w:lvl w:ilvl="4" w:tplc="8C38A30C" w:tentative="1">
      <w:start w:val="1"/>
      <w:numFmt w:val="decimal"/>
      <w:lvlText w:val="%5."/>
      <w:lvlJc w:val="left"/>
      <w:pPr>
        <w:tabs>
          <w:tab w:val="num" w:pos="3600"/>
        </w:tabs>
        <w:ind w:left="3600" w:hanging="360"/>
      </w:pPr>
      <w:rPr>
        <w:rFonts w:cs="Times New Roman"/>
      </w:rPr>
    </w:lvl>
    <w:lvl w:ilvl="5" w:tplc="77DE0298" w:tentative="1">
      <w:start w:val="1"/>
      <w:numFmt w:val="decimal"/>
      <w:lvlText w:val="%6."/>
      <w:lvlJc w:val="left"/>
      <w:pPr>
        <w:tabs>
          <w:tab w:val="num" w:pos="4320"/>
        </w:tabs>
        <w:ind w:left="4320" w:hanging="360"/>
      </w:pPr>
      <w:rPr>
        <w:rFonts w:cs="Times New Roman"/>
      </w:rPr>
    </w:lvl>
    <w:lvl w:ilvl="6" w:tplc="F182BDF8" w:tentative="1">
      <w:start w:val="1"/>
      <w:numFmt w:val="decimal"/>
      <w:lvlText w:val="%7."/>
      <w:lvlJc w:val="left"/>
      <w:pPr>
        <w:tabs>
          <w:tab w:val="num" w:pos="5040"/>
        </w:tabs>
        <w:ind w:left="5040" w:hanging="360"/>
      </w:pPr>
      <w:rPr>
        <w:rFonts w:cs="Times New Roman"/>
      </w:rPr>
    </w:lvl>
    <w:lvl w:ilvl="7" w:tplc="74DA4C40" w:tentative="1">
      <w:start w:val="1"/>
      <w:numFmt w:val="decimal"/>
      <w:lvlText w:val="%8."/>
      <w:lvlJc w:val="left"/>
      <w:pPr>
        <w:tabs>
          <w:tab w:val="num" w:pos="5760"/>
        </w:tabs>
        <w:ind w:left="5760" w:hanging="360"/>
      </w:pPr>
      <w:rPr>
        <w:rFonts w:cs="Times New Roman"/>
      </w:rPr>
    </w:lvl>
    <w:lvl w:ilvl="8" w:tplc="B9FED63A" w:tentative="1">
      <w:start w:val="1"/>
      <w:numFmt w:val="decimal"/>
      <w:lvlText w:val="%9."/>
      <w:lvlJc w:val="left"/>
      <w:pPr>
        <w:tabs>
          <w:tab w:val="num" w:pos="6480"/>
        </w:tabs>
        <w:ind w:left="6480" w:hanging="360"/>
      </w:pPr>
      <w:rPr>
        <w:rFonts w:cs="Times New Roman"/>
      </w:rPr>
    </w:lvl>
  </w:abstractNum>
  <w:abstractNum w:abstractNumId="41">
    <w:nsid w:val="716E58C0"/>
    <w:multiLevelType w:val="hybridMultilevel"/>
    <w:tmpl w:val="F52C3CD0"/>
    <w:lvl w:ilvl="0" w:tplc="91B2FE64">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E3B5E8B"/>
    <w:multiLevelType w:val="hybridMultilevel"/>
    <w:tmpl w:val="62E2E76C"/>
    <w:lvl w:ilvl="0" w:tplc="D4041A36">
      <w:start w:val="2"/>
      <w:numFmt w:val="decimal"/>
      <w:lvlText w:val="%1."/>
      <w:lvlJc w:val="left"/>
      <w:pPr>
        <w:ind w:left="786"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3">
    <w:nsid w:val="7FDA20D5"/>
    <w:multiLevelType w:val="hybridMultilevel"/>
    <w:tmpl w:val="63FAEB3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num w:numId="1">
    <w:abstractNumId w:val="6"/>
  </w:num>
  <w:num w:numId="2">
    <w:abstractNumId w:val="26"/>
  </w:num>
  <w:num w:numId="3">
    <w:abstractNumId w:val="28"/>
  </w:num>
  <w:num w:numId="4">
    <w:abstractNumId w:val="0"/>
  </w:num>
  <w:num w:numId="5">
    <w:abstractNumId w:val="17"/>
  </w:num>
  <w:num w:numId="6">
    <w:abstractNumId w:val="15"/>
  </w:num>
  <w:num w:numId="7">
    <w:abstractNumId w:val="5"/>
  </w:num>
  <w:num w:numId="8">
    <w:abstractNumId w:val="1"/>
  </w:num>
  <w:num w:numId="9">
    <w:abstractNumId w:val="13"/>
  </w:num>
  <w:num w:numId="10">
    <w:abstractNumId w:val="3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4"/>
  </w:num>
  <w:num w:numId="14">
    <w:abstractNumId w:val="12"/>
  </w:num>
  <w:num w:numId="15">
    <w:abstractNumId w:val="40"/>
  </w:num>
  <w:num w:numId="16">
    <w:abstractNumId w:val="22"/>
  </w:num>
  <w:num w:numId="17">
    <w:abstractNumId w:val="37"/>
  </w:num>
  <w:num w:numId="18">
    <w:abstractNumId w:val="41"/>
  </w:num>
  <w:num w:numId="19">
    <w:abstractNumId w:val="42"/>
  </w:num>
  <w:num w:numId="20">
    <w:abstractNumId w:val="9"/>
  </w:num>
  <w:num w:numId="21">
    <w:abstractNumId w:val="27"/>
  </w:num>
  <w:num w:numId="22">
    <w:abstractNumId w:val="3"/>
  </w:num>
  <w:num w:numId="23">
    <w:abstractNumId w:val="16"/>
  </w:num>
  <w:num w:numId="24">
    <w:abstractNumId w:val="36"/>
  </w:num>
  <w:num w:numId="25">
    <w:abstractNumId w:val="2"/>
  </w:num>
  <w:num w:numId="26">
    <w:abstractNumId w:val="7"/>
  </w:num>
  <w:num w:numId="27">
    <w:abstractNumId w:val="25"/>
  </w:num>
  <w:num w:numId="28">
    <w:abstractNumId w:val="32"/>
  </w:num>
  <w:num w:numId="29">
    <w:abstractNumId w:val="33"/>
  </w:num>
  <w:num w:numId="30">
    <w:abstractNumId w:val="35"/>
  </w:num>
  <w:num w:numId="31">
    <w:abstractNumId w:val="23"/>
  </w:num>
  <w:num w:numId="32">
    <w:abstractNumId w:val="18"/>
  </w:num>
  <w:num w:numId="33">
    <w:abstractNumId w:val="21"/>
  </w:num>
  <w:num w:numId="34">
    <w:abstractNumId w:val="39"/>
  </w:num>
  <w:num w:numId="35">
    <w:abstractNumId w:val="24"/>
  </w:num>
  <w:num w:numId="36">
    <w:abstractNumId w:val="8"/>
  </w:num>
  <w:num w:numId="37">
    <w:abstractNumId w:val="31"/>
  </w:num>
  <w:num w:numId="38">
    <w:abstractNumId w:val="34"/>
  </w:num>
  <w:num w:numId="39">
    <w:abstractNumId w:val="19"/>
  </w:num>
  <w:num w:numId="40">
    <w:abstractNumId w:val="29"/>
  </w:num>
  <w:num w:numId="41">
    <w:abstractNumId w:val="34"/>
    <w:lvlOverride w:ilvl="0">
      <w:lvl w:ilvl="0" w:tplc="0415000F">
        <w:start w:val="1"/>
        <w:numFmt w:val="decimal"/>
        <w:lvlText w:val="%1."/>
        <w:lvlJc w:val="left"/>
        <w:pPr>
          <w:ind w:left="1146" w:hanging="360"/>
        </w:pPr>
        <w:rPr>
          <w:rFonts w:hint="default"/>
        </w:rPr>
      </w:lvl>
    </w:lvlOverride>
    <w:lvlOverride w:ilvl="1">
      <w:lvl w:ilvl="1" w:tplc="04150003" w:tentative="1">
        <w:start w:val="1"/>
        <w:numFmt w:val="lowerLetter"/>
        <w:lvlText w:val="%2."/>
        <w:lvlJc w:val="left"/>
        <w:pPr>
          <w:ind w:left="1440" w:hanging="360"/>
        </w:pPr>
      </w:lvl>
    </w:lvlOverride>
    <w:lvlOverride w:ilvl="2">
      <w:lvl w:ilvl="2" w:tplc="04150005" w:tentative="1">
        <w:start w:val="1"/>
        <w:numFmt w:val="lowerRoman"/>
        <w:lvlText w:val="%3."/>
        <w:lvlJc w:val="right"/>
        <w:pPr>
          <w:ind w:left="2160" w:hanging="180"/>
        </w:pPr>
      </w:lvl>
    </w:lvlOverride>
    <w:lvlOverride w:ilvl="3">
      <w:lvl w:ilvl="3" w:tplc="04150001" w:tentative="1">
        <w:start w:val="1"/>
        <w:numFmt w:val="decimal"/>
        <w:lvlText w:val="%4."/>
        <w:lvlJc w:val="left"/>
        <w:pPr>
          <w:ind w:left="2880" w:hanging="360"/>
        </w:pPr>
      </w:lvl>
    </w:lvlOverride>
    <w:lvlOverride w:ilvl="4">
      <w:lvl w:ilvl="4" w:tplc="04150003" w:tentative="1">
        <w:start w:val="1"/>
        <w:numFmt w:val="lowerLetter"/>
        <w:lvlText w:val="%5."/>
        <w:lvlJc w:val="left"/>
        <w:pPr>
          <w:ind w:left="3600" w:hanging="360"/>
        </w:pPr>
      </w:lvl>
    </w:lvlOverride>
    <w:lvlOverride w:ilvl="5">
      <w:lvl w:ilvl="5" w:tplc="04150005" w:tentative="1">
        <w:start w:val="1"/>
        <w:numFmt w:val="lowerRoman"/>
        <w:lvlText w:val="%6."/>
        <w:lvlJc w:val="right"/>
        <w:pPr>
          <w:ind w:left="4320" w:hanging="180"/>
        </w:pPr>
      </w:lvl>
    </w:lvlOverride>
    <w:lvlOverride w:ilvl="6">
      <w:lvl w:ilvl="6" w:tplc="04150001" w:tentative="1">
        <w:start w:val="1"/>
        <w:numFmt w:val="decimal"/>
        <w:lvlText w:val="%7."/>
        <w:lvlJc w:val="left"/>
        <w:pPr>
          <w:ind w:left="5040" w:hanging="360"/>
        </w:pPr>
      </w:lvl>
    </w:lvlOverride>
    <w:lvlOverride w:ilvl="7">
      <w:lvl w:ilvl="7" w:tplc="04150003" w:tentative="1">
        <w:start w:val="1"/>
        <w:numFmt w:val="lowerLetter"/>
        <w:lvlText w:val="%8."/>
        <w:lvlJc w:val="left"/>
        <w:pPr>
          <w:ind w:left="5760" w:hanging="360"/>
        </w:pPr>
      </w:lvl>
    </w:lvlOverride>
    <w:lvlOverride w:ilvl="8">
      <w:lvl w:ilvl="8" w:tplc="04150005" w:tentative="1">
        <w:start w:val="1"/>
        <w:numFmt w:val="lowerRoman"/>
        <w:lvlText w:val="%9."/>
        <w:lvlJc w:val="right"/>
        <w:pPr>
          <w:ind w:left="6480" w:hanging="180"/>
        </w:pPr>
      </w:lvl>
    </w:lvlOverride>
  </w:num>
  <w:num w:numId="42">
    <w:abstractNumId w:val="38"/>
  </w:num>
  <w:num w:numId="43">
    <w:abstractNumId w:val="10"/>
  </w:num>
  <w:num w:numId="44">
    <w:abstractNumId w:val="1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5C"/>
    <w:rsid w:val="0000701B"/>
    <w:rsid w:val="00013C12"/>
    <w:rsid w:val="00022681"/>
    <w:rsid w:val="000247DA"/>
    <w:rsid w:val="0002653C"/>
    <w:rsid w:val="00027E4C"/>
    <w:rsid w:val="00030376"/>
    <w:rsid w:val="00032860"/>
    <w:rsid w:val="00033223"/>
    <w:rsid w:val="00035468"/>
    <w:rsid w:val="00042165"/>
    <w:rsid w:val="000454D6"/>
    <w:rsid w:val="00045D93"/>
    <w:rsid w:val="00051080"/>
    <w:rsid w:val="000541DA"/>
    <w:rsid w:val="00063659"/>
    <w:rsid w:val="00063A32"/>
    <w:rsid w:val="00066592"/>
    <w:rsid w:val="000679AA"/>
    <w:rsid w:val="00067EAD"/>
    <w:rsid w:val="00071091"/>
    <w:rsid w:val="00076003"/>
    <w:rsid w:val="00076AC9"/>
    <w:rsid w:val="00077DF5"/>
    <w:rsid w:val="00083801"/>
    <w:rsid w:val="000845F1"/>
    <w:rsid w:val="00087AF8"/>
    <w:rsid w:val="0009132F"/>
    <w:rsid w:val="00091B4C"/>
    <w:rsid w:val="0009263A"/>
    <w:rsid w:val="00094176"/>
    <w:rsid w:val="000941D0"/>
    <w:rsid w:val="00095BF4"/>
    <w:rsid w:val="000A2AB2"/>
    <w:rsid w:val="000A385E"/>
    <w:rsid w:val="000B0CC3"/>
    <w:rsid w:val="000C13C5"/>
    <w:rsid w:val="000C1731"/>
    <w:rsid w:val="000C2CB7"/>
    <w:rsid w:val="000C2CBB"/>
    <w:rsid w:val="000C30C0"/>
    <w:rsid w:val="000C5862"/>
    <w:rsid w:val="000D71AE"/>
    <w:rsid w:val="000E1E35"/>
    <w:rsid w:val="000E3211"/>
    <w:rsid w:val="000E4E7B"/>
    <w:rsid w:val="000E5E3A"/>
    <w:rsid w:val="00101FA2"/>
    <w:rsid w:val="00110CB3"/>
    <w:rsid w:val="0011480F"/>
    <w:rsid w:val="00114954"/>
    <w:rsid w:val="00117739"/>
    <w:rsid w:val="00117C4D"/>
    <w:rsid w:val="00126622"/>
    <w:rsid w:val="0012762A"/>
    <w:rsid w:val="00127934"/>
    <w:rsid w:val="00132941"/>
    <w:rsid w:val="00133F29"/>
    <w:rsid w:val="001371F3"/>
    <w:rsid w:val="00146CFA"/>
    <w:rsid w:val="00156670"/>
    <w:rsid w:val="00163E5C"/>
    <w:rsid w:val="00166089"/>
    <w:rsid w:val="001707E0"/>
    <w:rsid w:val="00173DF5"/>
    <w:rsid w:val="0018696E"/>
    <w:rsid w:val="00196CBE"/>
    <w:rsid w:val="001A388C"/>
    <w:rsid w:val="001A502C"/>
    <w:rsid w:val="001B0389"/>
    <w:rsid w:val="001B211C"/>
    <w:rsid w:val="001B75F1"/>
    <w:rsid w:val="001C4ACE"/>
    <w:rsid w:val="001C571E"/>
    <w:rsid w:val="001D1543"/>
    <w:rsid w:val="001D6C34"/>
    <w:rsid w:val="001D7B70"/>
    <w:rsid w:val="001D7BEC"/>
    <w:rsid w:val="001E28ED"/>
    <w:rsid w:val="001E2C8C"/>
    <w:rsid w:val="001E4343"/>
    <w:rsid w:val="001E5FD6"/>
    <w:rsid w:val="001F174B"/>
    <w:rsid w:val="001F22F1"/>
    <w:rsid w:val="001F7643"/>
    <w:rsid w:val="00206013"/>
    <w:rsid w:val="002068E5"/>
    <w:rsid w:val="00213A6C"/>
    <w:rsid w:val="00214C58"/>
    <w:rsid w:val="0022339F"/>
    <w:rsid w:val="00225078"/>
    <w:rsid w:val="0022565E"/>
    <w:rsid w:val="00234ACE"/>
    <w:rsid w:val="00240707"/>
    <w:rsid w:val="00241D4D"/>
    <w:rsid w:val="00242BFD"/>
    <w:rsid w:val="002468F6"/>
    <w:rsid w:val="00247EA2"/>
    <w:rsid w:val="002636F2"/>
    <w:rsid w:val="002662A2"/>
    <w:rsid w:val="00273B7B"/>
    <w:rsid w:val="00277828"/>
    <w:rsid w:val="00280BC8"/>
    <w:rsid w:val="002830BE"/>
    <w:rsid w:val="0028655F"/>
    <w:rsid w:val="002866B1"/>
    <w:rsid w:val="002919FA"/>
    <w:rsid w:val="00296201"/>
    <w:rsid w:val="002A16BB"/>
    <w:rsid w:val="002A491B"/>
    <w:rsid w:val="002A6D3F"/>
    <w:rsid w:val="002B4E63"/>
    <w:rsid w:val="002B5100"/>
    <w:rsid w:val="002B65C2"/>
    <w:rsid w:val="002C1349"/>
    <w:rsid w:val="002C16EE"/>
    <w:rsid w:val="002C1A2D"/>
    <w:rsid w:val="002C3EBF"/>
    <w:rsid w:val="002C53BF"/>
    <w:rsid w:val="002C6C3E"/>
    <w:rsid w:val="002C79B5"/>
    <w:rsid w:val="002C79CB"/>
    <w:rsid w:val="002D47D2"/>
    <w:rsid w:val="002E6E6E"/>
    <w:rsid w:val="002E6EAA"/>
    <w:rsid w:val="002F1185"/>
    <w:rsid w:val="002F6A37"/>
    <w:rsid w:val="002F792E"/>
    <w:rsid w:val="00302B5E"/>
    <w:rsid w:val="0030532C"/>
    <w:rsid w:val="003054EA"/>
    <w:rsid w:val="00307D30"/>
    <w:rsid w:val="00314E19"/>
    <w:rsid w:val="0031619D"/>
    <w:rsid w:val="00323AD2"/>
    <w:rsid w:val="0033421B"/>
    <w:rsid w:val="00342038"/>
    <w:rsid w:val="003517AD"/>
    <w:rsid w:val="00352137"/>
    <w:rsid w:val="00357B0C"/>
    <w:rsid w:val="00361099"/>
    <w:rsid w:val="00364814"/>
    <w:rsid w:val="00367D2D"/>
    <w:rsid w:val="0037044D"/>
    <w:rsid w:val="0037090C"/>
    <w:rsid w:val="00370D73"/>
    <w:rsid w:val="003748A9"/>
    <w:rsid w:val="003755EA"/>
    <w:rsid w:val="00384A9A"/>
    <w:rsid w:val="00387DDA"/>
    <w:rsid w:val="003904FF"/>
    <w:rsid w:val="00390B1C"/>
    <w:rsid w:val="00393FA0"/>
    <w:rsid w:val="00396A45"/>
    <w:rsid w:val="00396E37"/>
    <w:rsid w:val="003973CE"/>
    <w:rsid w:val="0039786F"/>
    <w:rsid w:val="003A576A"/>
    <w:rsid w:val="003A644A"/>
    <w:rsid w:val="003A6D2A"/>
    <w:rsid w:val="003B35F0"/>
    <w:rsid w:val="003B64D9"/>
    <w:rsid w:val="003D04C1"/>
    <w:rsid w:val="003D3D91"/>
    <w:rsid w:val="003E0DB3"/>
    <w:rsid w:val="003E32A5"/>
    <w:rsid w:val="003F0BF1"/>
    <w:rsid w:val="003F5365"/>
    <w:rsid w:val="003F7B97"/>
    <w:rsid w:val="0040033A"/>
    <w:rsid w:val="00401970"/>
    <w:rsid w:val="00401DA9"/>
    <w:rsid w:val="00407224"/>
    <w:rsid w:val="00410922"/>
    <w:rsid w:val="004129F8"/>
    <w:rsid w:val="004158EF"/>
    <w:rsid w:val="00416A44"/>
    <w:rsid w:val="00417B9C"/>
    <w:rsid w:val="00421AC0"/>
    <w:rsid w:val="0042343A"/>
    <w:rsid w:val="00423EA2"/>
    <w:rsid w:val="00424A16"/>
    <w:rsid w:val="00424BE6"/>
    <w:rsid w:val="00434441"/>
    <w:rsid w:val="00440754"/>
    <w:rsid w:val="0044649E"/>
    <w:rsid w:val="00446A15"/>
    <w:rsid w:val="00453A32"/>
    <w:rsid w:val="004562A0"/>
    <w:rsid w:val="00457E35"/>
    <w:rsid w:val="00460CEE"/>
    <w:rsid w:val="0046445C"/>
    <w:rsid w:val="00465D7E"/>
    <w:rsid w:val="004705A2"/>
    <w:rsid w:val="00477404"/>
    <w:rsid w:val="00480391"/>
    <w:rsid w:val="00482BC4"/>
    <w:rsid w:val="00487B43"/>
    <w:rsid w:val="004916F2"/>
    <w:rsid w:val="00495690"/>
    <w:rsid w:val="004A1360"/>
    <w:rsid w:val="004A151E"/>
    <w:rsid w:val="004A7B50"/>
    <w:rsid w:val="004B5530"/>
    <w:rsid w:val="004B59B9"/>
    <w:rsid w:val="004C1C1E"/>
    <w:rsid w:val="004C3CB5"/>
    <w:rsid w:val="004C75D4"/>
    <w:rsid w:val="004D176B"/>
    <w:rsid w:val="004D2ACA"/>
    <w:rsid w:val="004E5F69"/>
    <w:rsid w:val="004E65BD"/>
    <w:rsid w:val="004F0097"/>
    <w:rsid w:val="004F1298"/>
    <w:rsid w:val="004F3E71"/>
    <w:rsid w:val="004F5E31"/>
    <w:rsid w:val="00510A34"/>
    <w:rsid w:val="00512A89"/>
    <w:rsid w:val="005134F4"/>
    <w:rsid w:val="005266B8"/>
    <w:rsid w:val="005407BD"/>
    <w:rsid w:val="005433A4"/>
    <w:rsid w:val="005433E4"/>
    <w:rsid w:val="00547CE1"/>
    <w:rsid w:val="00551686"/>
    <w:rsid w:val="00555F81"/>
    <w:rsid w:val="005640BC"/>
    <w:rsid w:val="00585846"/>
    <w:rsid w:val="00590E48"/>
    <w:rsid w:val="0059622F"/>
    <w:rsid w:val="00597DB6"/>
    <w:rsid w:val="005A38E3"/>
    <w:rsid w:val="005A7000"/>
    <w:rsid w:val="005A73B7"/>
    <w:rsid w:val="005B05BA"/>
    <w:rsid w:val="005B50F9"/>
    <w:rsid w:val="005B63A1"/>
    <w:rsid w:val="005C12E1"/>
    <w:rsid w:val="005C1D0A"/>
    <w:rsid w:val="005C3BA2"/>
    <w:rsid w:val="005C4DEB"/>
    <w:rsid w:val="005D7337"/>
    <w:rsid w:val="005E1D24"/>
    <w:rsid w:val="005E35F8"/>
    <w:rsid w:val="005E6D90"/>
    <w:rsid w:val="005F2799"/>
    <w:rsid w:val="005F62FB"/>
    <w:rsid w:val="005F74DA"/>
    <w:rsid w:val="0060725F"/>
    <w:rsid w:val="00607852"/>
    <w:rsid w:val="006135D8"/>
    <w:rsid w:val="00631431"/>
    <w:rsid w:val="00642784"/>
    <w:rsid w:val="00645244"/>
    <w:rsid w:val="00645DDD"/>
    <w:rsid w:val="00646491"/>
    <w:rsid w:val="0065589D"/>
    <w:rsid w:val="00655E40"/>
    <w:rsid w:val="0066354B"/>
    <w:rsid w:val="00665A54"/>
    <w:rsid w:val="00667A5D"/>
    <w:rsid w:val="00672BD3"/>
    <w:rsid w:val="00677A21"/>
    <w:rsid w:val="0068361A"/>
    <w:rsid w:val="006A1374"/>
    <w:rsid w:val="006A1FD5"/>
    <w:rsid w:val="006A3179"/>
    <w:rsid w:val="006B0D2A"/>
    <w:rsid w:val="006C2930"/>
    <w:rsid w:val="006C4860"/>
    <w:rsid w:val="006D21CB"/>
    <w:rsid w:val="006D2C7E"/>
    <w:rsid w:val="006E090E"/>
    <w:rsid w:val="006F68ED"/>
    <w:rsid w:val="00700CA7"/>
    <w:rsid w:val="00704670"/>
    <w:rsid w:val="00713C0D"/>
    <w:rsid w:val="00721538"/>
    <w:rsid w:val="007223AF"/>
    <w:rsid w:val="00723A2C"/>
    <w:rsid w:val="0072504B"/>
    <w:rsid w:val="00733639"/>
    <w:rsid w:val="00733C66"/>
    <w:rsid w:val="00735987"/>
    <w:rsid w:val="00736956"/>
    <w:rsid w:val="007444CF"/>
    <w:rsid w:val="007566F2"/>
    <w:rsid w:val="007729F6"/>
    <w:rsid w:val="00776982"/>
    <w:rsid w:val="007775A3"/>
    <w:rsid w:val="00781DBD"/>
    <w:rsid w:val="007A095F"/>
    <w:rsid w:val="007A1356"/>
    <w:rsid w:val="007A1E20"/>
    <w:rsid w:val="007A34B3"/>
    <w:rsid w:val="007A43EC"/>
    <w:rsid w:val="007A5CB3"/>
    <w:rsid w:val="007A6A65"/>
    <w:rsid w:val="007A6F7E"/>
    <w:rsid w:val="007A79CD"/>
    <w:rsid w:val="007B3FD3"/>
    <w:rsid w:val="007C0859"/>
    <w:rsid w:val="007C4472"/>
    <w:rsid w:val="007D5448"/>
    <w:rsid w:val="007D72CD"/>
    <w:rsid w:val="007E0599"/>
    <w:rsid w:val="007F009D"/>
    <w:rsid w:val="007F0416"/>
    <w:rsid w:val="007F3E6C"/>
    <w:rsid w:val="007F59C1"/>
    <w:rsid w:val="007F7D20"/>
    <w:rsid w:val="00814FF2"/>
    <w:rsid w:val="008177CC"/>
    <w:rsid w:val="00821192"/>
    <w:rsid w:val="00821AD8"/>
    <w:rsid w:val="00840D20"/>
    <w:rsid w:val="00841299"/>
    <w:rsid w:val="00853043"/>
    <w:rsid w:val="00861775"/>
    <w:rsid w:val="008657D2"/>
    <w:rsid w:val="0087230D"/>
    <w:rsid w:val="0087470A"/>
    <w:rsid w:val="008768B5"/>
    <w:rsid w:val="00877A47"/>
    <w:rsid w:val="00883EAF"/>
    <w:rsid w:val="008855B9"/>
    <w:rsid w:val="00886443"/>
    <w:rsid w:val="008A00E6"/>
    <w:rsid w:val="008A0179"/>
    <w:rsid w:val="008A2E40"/>
    <w:rsid w:val="008D1144"/>
    <w:rsid w:val="008E6D30"/>
    <w:rsid w:val="008F3A78"/>
    <w:rsid w:val="00903B82"/>
    <w:rsid w:val="00906EE4"/>
    <w:rsid w:val="00913DE4"/>
    <w:rsid w:val="00915061"/>
    <w:rsid w:val="0092462F"/>
    <w:rsid w:val="00925BA7"/>
    <w:rsid w:val="0093374D"/>
    <w:rsid w:val="009354C0"/>
    <w:rsid w:val="00935F72"/>
    <w:rsid w:val="00936456"/>
    <w:rsid w:val="00943673"/>
    <w:rsid w:val="00945D73"/>
    <w:rsid w:val="00951169"/>
    <w:rsid w:val="00954ABD"/>
    <w:rsid w:val="00955874"/>
    <w:rsid w:val="00956EC9"/>
    <w:rsid w:val="00971129"/>
    <w:rsid w:val="009753FA"/>
    <w:rsid w:val="00976FDD"/>
    <w:rsid w:val="009809C8"/>
    <w:rsid w:val="009845E4"/>
    <w:rsid w:val="0098765A"/>
    <w:rsid w:val="00990329"/>
    <w:rsid w:val="009936AB"/>
    <w:rsid w:val="009A14EC"/>
    <w:rsid w:val="009A77D3"/>
    <w:rsid w:val="009B0B3F"/>
    <w:rsid w:val="009C5C29"/>
    <w:rsid w:val="009C7726"/>
    <w:rsid w:val="009D434F"/>
    <w:rsid w:val="009D760D"/>
    <w:rsid w:val="009D781B"/>
    <w:rsid w:val="009E0BCD"/>
    <w:rsid w:val="009F0850"/>
    <w:rsid w:val="009F0F12"/>
    <w:rsid w:val="009F1B9A"/>
    <w:rsid w:val="009F2148"/>
    <w:rsid w:val="009F7E48"/>
    <w:rsid w:val="00A01CAC"/>
    <w:rsid w:val="00A0259E"/>
    <w:rsid w:val="00A0381F"/>
    <w:rsid w:val="00A05793"/>
    <w:rsid w:val="00A164B7"/>
    <w:rsid w:val="00A16B21"/>
    <w:rsid w:val="00A248EA"/>
    <w:rsid w:val="00A24A5E"/>
    <w:rsid w:val="00A36161"/>
    <w:rsid w:val="00A37128"/>
    <w:rsid w:val="00A43E2C"/>
    <w:rsid w:val="00A44C74"/>
    <w:rsid w:val="00A53B28"/>
    <w:rsid w:val="00A5401A"/>
    <w:rsid w:val="00A54D48"/>
    <w:rsid w:val="00A56A4B"/>
    <w:rsid w:val="00A57EEB"/>
    <w:rsid w:val="00A80D69"/>
    <w:rsid w:val="00A820E6"/>
    <w:rsid w:val="00A85DDA"/>
    <w:rsid w:val="00A87AF2"/>
    <w:rsid w:val="00AA1C92"/>
    <w:rsid w:val="00AA4664"/>
    <w:rsid w:val="00AA7259"/>
    <w:rsid w:val="00AB22FF"/>
    <w:rsid w:val="00AB534F"/>
    <w:rsid w:val="00AC5F20"/>
    <w:rsid w:val="00AE4BD0"/>
    <w:rsid w:val="00AE73BE"/>
    <w:rsid w:val="00AF1873"/>
    <w:rsid w:val="00B06D42"/>
    <w:rsid w:val="00B07078"/>
    <w:rsid w:val="00B211E4"/>
    <w:rsid w:val="00B2284F"/>
    <w:rsid w:val="00B2521C"/>
    <w:rsid w:val="00B42E83"/>
    <w:rsid w:val="00B53BCB"/>
    <w:rsid w:val="00B55397"/>
    <w:rsid w:val="00B55964"/>
    <w:rsid w:val="00B64132"/>
    <w:rsid w:val="00B77A15"/>
    <w:rsid w:val="00B849D9"/>
    <w:rsid w:val="00B86F06"/>
    <w:rsid w:val="00B9327D"/>
    <w:rsid w:val="00B96B2B"/>
    <w:rsid w:val="00B977AA"/>
    <w:rsid w:val="00BA370D"/>
    <w:rsid w:val="00BA7042"/>
    <w:rsid w:val="00BB4609"/>
    <w:rsid w:val="00BB4659"/>
    <w:rsid w:val="00BC086F"/>
    <w:rsid w:val="00BC224D"/>
    <w:rsid w:val="00BC7477"/>
    <w:rsid w:val="00BD4C79"/>
    <w:rsid w:val="00BD6F95"/>
    <w:rsid w:val="00BE3027"/>
    <w:rsid w:val="00BE3A55"/>
    <w:rsid w:val="00BE3A9B"/>
    <w:rsid w:val="00BF2022"/>
    <w:rsid w:val="00C02FEE"/>
    <w:rsid w:val="00C03D8D"/>
    <w:rsid w:val="00C12CA6"/>
    <w:rsid w:val="00C15358"/>
    <w:rsid w:val="00C203D9"/>
    <w:rsid w:val="00C21ADB"/>
    <w:rsid w:val="00C25230"/>
    <w:rsid w:val="00C25462"/>
    <w:rsid w:val="00C44904"/>
    <w:rsid w:val="00C4490A"/>
    <w:rsid w:val="00C451BA"/>
    <w:rsid w:val="00C50A78"/>
    <w:rsid w:val="00C51AEB"/>
    <w:rsid w:val="00C531F3"/>
    <w:rsid w:val="00C55914"/>
    <w:rsid w:val="00C55E07"/>
    <w:rsid w:val="00C57B6A"/>
    <w:rsid w:val="00C71259"/>
    <w:rsid w:val="00C71695"/>
    <w:rsid w:val="00C75DFA"/>
    <w:rsid w:val="00C828F8"/>
    <w:rsid w:val="00C85E97"/>
    <w:rsid w:val="00C91C04"/>
    <w:rsid w:val="00C939D9"/>
    <w:rsid w:val="00C9604D"/>
    <w:rsid w:val="00CA0955"/>
    <w:rsid w:val="00CA1EF9"/>
    <w:rsid w:val="00CA49D1"/>
    <w:rsid w:val="00CB695D"/>
    <w:rsid w:val="00CC19BC"/>
    <w:rsid w:val="00CC3773"/>
    <w:rsid w:val="00CC518E"/>
    <w:rsid w:val="00CD1D86"/>
    <w:rsid w:val="00CD2205"/>
    <w:rsid w:val="00CF30B9"/>
    <w:rsid w:val="00CF3749"/>
    <w:rsid w:val="00CF4E7B"/>
    <w:rsid w:val="00CF53E1"/>
    <w:rsid w:val="00CF7D39"/>
    <w:rsid w:val="00D01B01"/>
    <w:rsid w:val="00D02E0E"/>
    <w:rsid w:val="00D105C9"/>
    <w:rsid w:val="00D11411"/>
    <w:rsid w:val="00D169C0"/>
    <w:rsid w:val="00D33E4A"/>
    <w:rsid w:val="00D35D4C"/>
    <w:rsid w:val="00D52BC8"/>
    <w:rsid w:val="00D534C3"/>
    <w:rsid w:val="00D54CAF"/>
    <w:rsid w:val="00D604E9"/>
    <w:rsid w:val="00D60B33"/>
    <w:rsid w:val="00D638F1"/>
    <w:rsid w:val="00D66F23"/>
    <w:rsid w:val="00D72381"/>
    <w:rsid w:val="00D74F93"/>
    <w:rsid w:val="00D85901"/>
    <w:rsid w:val="00D867EB"/>
    <w:rsid w:val="00D90BE9"/>
    <w:rsid w:val="00D93D9F"/>
    <w:rsid w:val="00DA239A"/>
    <w:rsid w:val="00DA52EC"/>
    <w:rsid w:val="00DA6855"/>
    <w:rsid w:val="00DB4904"/>
    <w:rsid w:val="00DB4DDA"/>
    <w:rsid w:val="00DC1DCA"/>
    <w:rsid w:val="00DC1E3B"/>
    <w:rsid w:val="00DD0819"/>
    <w:rsid w:val="00DE14FF"/>
    <w:rsid w:val="00DE470D"/>
    <w:rsid w:val="00DF1328"/>
    <w:rsid w:val="00DF1F47"/>
    <w:rsid w:val="00DF564B"/>
    <w:rsid w:val="00DF6795"/>
    <w:rsid w:val="00DF6AB8"/>
    <w:rsid w:val="00E11DB3"/>
    <w:rsid w:val="00E12323"/>
    <w:rsid w:val="00E25D47"/>
    <w:rsid w:val="00E30ADD"/>
    <w:rsid w:val="00E33C0D"/>
    <w:rsid w:val="00E33CEB"/>
    <w:rsid w:val="00E34A74"/>
    <w:rsid w:val="00E35547"/>
    <w:rsid w:val="00E406A3"/>
    <w:rsid w:val="00E42235"/>
    <w:rsid w:val="00E44DD1"/>
    <w:rsid w:val="00E44EF9"/>
    <w:rsid w:val="00E478C0"/>
    <w:rsid w:val="00E56348"/>
    <w:rsid w:val="00E6312E"/>
    <w:rsid w:val="00E725C9"/>
    <w:rsid w:val="00E84A2A"/>
    <w:rsid w:val="00E86771"/>
    <w:rsid w:val="00E912DF"/>
    <w:rsid w:val="00E9267C"/>
    <w:rsid w:val="00E96FEB"/>
    <w:rsid w:val="00EA064C"/>
    <w:rsid w:val="00EA06BE"/>
    <w:rsid w:val="00EA1F53"/>
    <w:rsid w:val="00EA26E9"/>
    <w:rsid w:val="00EA29DA"/>
    <w:rsid w:val="00EA6499"/>
    <w:rsid w:val="00EA6FB2"/>
    <w:rsid w:val="00EB3F97"/>
    <w:rsid w:val="00EB5AC0"/>
    <w:rsid w:val="00EB64FA"/>
    <w:rsid w:val="00EC7923"/>
    <w:rsid w:val="00ED5EE6"/>
    <w:rsid w:val="00EE0011"/>
    <w:rsid w:val="00EE1D4B"/>
    <w:rsid w:val="00EE304F"/>
    <w:rsid w:val="00EE6EE0"/>
    <w:rsid w:val="00EF2A62"/>
    <w:rsid w:val="00F0029C"/>
    <w:rsid w:val="00F0481D"/>
    <w:rsid w:val="00F30E8C"/>
    <w:rsid w:val="00F331EF"/>
    <w:rsid w:val="00F45E62"/>
    <w:rsid w:val="00F462F7"/>
    <w:rsid w:val="00F505D8"/>
    <w:rsid w:val="00F50E65"/>
    <w:rsid w:val="00F571DE"/>
    <w:rsid w:val="00F57BC1"/>
    <w:rsid w:val="00F67A48"/>
    <w:rsid w:val="00F75A09"/>
    <w:rsid w:val="00F76E2A"/>
    <w:rsid w:val="00F773C4"/>
    <w:rsid w:val="00F87C93"/>
    <w:rsid w:val="00F92B89"/>
    <w:rsid w:val="00FA1B2F"/>
    <w:rsid w:val="00FC1468"/>
    <w:rsid w:val="00FC6221"/>
    <w:rsid w:val="00FD4B16"/>
    <w:rsid w:val="00FD7D6B"/>
    <w:rsid w:val="00FF0C0D"/>
    <w:rsid w:val="00FF25E4"/>
    <w:rsid w:val="00FF2C9A"/>
    <w:rsid w:val="00FF33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955"/>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3E5C"/>
    <w:pPr>
      <w:ind w:left="720"/>
      <w:contextualSpacing/>
    </w:pPr>
  </w:style>
  <w:style w:type="paragraph" w:styleId="Stopka">
    <w:name w:val="footer"/>
    <w:basedOn w:val="Normalny"/>
    <w:link w:val="StopkaZnak"/>
    <w:uiPriority w:val="99"/>
    <w:rsid w:val="00163E5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63E5C"/>
    <w:rPr>
      <w:rFonts w:cs="Times New Roman"/>
    </w:rPr>
  </w:style>
  <w:style w:type="paragraph" w:customStyle="1" w:styleId="Enormal">
    <w:name w:val="E normal"/>
    <w:basedOn w:val="Normalny"/>
    <w:uiPriority w:val="99"/>
    <w:rsid w:val="00163E5C"/>
    <w:pPr>
      <w:spacing w:after="0" w:line="240" w:lineRule="auto"/>
      <w:ind w:firstLine="709"/>
      <w:jc w:val="both"/>
    </w:pPr>
    <w:rPr>
      <w:rFonts w:ascii="Times New Roman" w:hAnsi="Times New Roman"/>
      <w:sz w:val="24"/>
      <w:szCs w:val="20"/>
      <w:lang w:val="de-DE"/>
    </w:rPr>
  </w:style>
  <w:style w:type="paragraph" w:styleId="Tekstdymka">
    <w:name w:val="Balloon Text"/>
    <w:basedOn w:val="Normalny"/>
    <w:link w:val="TekstdymkaZnak"/>
    <w:uiPriority w:val="99"/>
    <w:semiHidden/>
    <w:rsid w:val="00163E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63E5C"/>
    <w:rPr>
      <w:rFonts w:ascii="Tahoma" w:hAnsi="Tahoma" w:cs="Tahoma"/>
      <w:sz w:val="16"/>
      <w:szCs w:val="16"/>
    </w:rPr>
  </w:style>
  <w:style w:type="character" w:styleId="Hipercze">
    <w:name w:val="Hyperlink"/>
    <w:basedOn w:val="Domylnaczcionkaakapitu"/>
    <w:uiPriority w:val="99"/>
    <w:rsid w:val="00D74F93"/>
    <w:rPr>
      <w:rFonts w:cs="Times New Roman"/>
      <w:color w:val="0000FF"/>
      <w:u w:val="single"/>
    </w:rPr>
  </w:style>
  <w:style w:type="paragraph" w:styleId="Zwykytekst">
    <w:name w:val="Plain Text"/>
    <w:basedOn w:val="Normalny"/>
    <w:link w:val="ZwykytekstZnak"/>
    <w:uiPriority w:val="99"/>
    <w:rsid w:val="007566F2"/>
    <w:pPr>
      <w:spacing w:after="0" w:line="240" w:lineRule="auto"/>
    </w:pPr>
  </w:style>
  <w:style w:type="character" w:customStyle="1" w:styleId="ZwykytekstZnak">
    <w:name w:val="Zwykły tekst Znak"/>
    <w:basedOn w:val="Domylnaczcionkaakapitu"/>
    <w:link w:val="Zwykytekst"/>
    <w:uiPriority w:val="99"/>
    <w:locked/>
    <w:rsid w:val="007566F2"/>
    <w:rPr>
      <w:rFonts w:ascii="Calibri" w:hAnsi="Calibri" w:cs="Times New Roman"/>
      <w:lang w:eastAsia="pl-PL"/>
    </w:rPr>
  </w:style>
  <w:style w:type="character" w:styleId="Odwoaniedokomentarza">
    <w:name w:val="annotation reference"/>
    <w:basedOn w:val="Domylnaczcionkaakapitu"/>
    <w:uiPriority w:val="99"/>
    <w:semiHidden/>
    <w:rsid w:val="00E33CEB"/>
    <w:rPr>
      <w:rFonts w:cs="Times New Roman"/>
      <w:sz w:val="16"/>
      <w:szCs w:val="16"/>
    </w:rPr>
  </w:style>
  <w:style w:type="paragraph" w:styleId="Tekstkomentarza">
    <w:name w:val="annotation text"/>
    <w:basedOn w:val="Normalny"/>
    <w:link w:val="TekstkomentarzaZnak"/>
    <w:uiPriority w:val="99"/>
    <w:semiHidden/>
    <w:rsid w:val="00E33CE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33CEB"/>
    <w:rPr>
      <w:rFonts w:cs="Times New Roman"/>
      <w:sz w:val="20"/>
      <w:szCs w:val="20"/>
    </w:rPr>
  </w:style>
  <w:style w:type="paragraph" w:styleId="Tematkomentarza">
    <w:name w:val="annotation subject"/>
    <w:basedOn w:val="Tekstkomentarza"/>
    <w:next w:val="Tekstkomentarza"/>
    <w:link w:val="TematkomentarzaZnak"/>
    <w:uiPriority w:val="99"/>
    <w:semiHidden/>
    <w:rsid w:val="00E33CEB"/>
    <w:rPr>
      <w:b/>
      <w:bCs/>
    </w:rPr>
  </w:style>
  <w:style w:type="character" w:customStyle="1" w:styleId="TematkomentarzaZnak">
    <w:name w:val="Temat komentarza Znak"/>
    <w:basedOn w:val="TekstkomentarzaZnak"/>
    <w:link w:val="Tematkomentarza"/>
    <w:uiPriority w:val="99"/>
    <w:semiHidden/>
    <w:locked/>
    <w:rsid w:val="00E33CEB"/>
    <w:rPr>
      <w:rFonts w:cs="Times New Roman"/>
      <w:b/>
      <w:bCs/>
      <w:sz w:val="20"/>
      <w:szCs w:val="20"/>
    </w:rPr>
  </w:style>
  <w:style w:type="paragraph" w:styleId="Tekstprzypisukocowego">
    <w:name w:val="endnote text"/>
    <w:basedOn w:val="Normalny"/>
    <w:link w:val="TekstprzypisukocowegoZnak"/>
    <w:uiPriority w:val="99"/>
    <w:semiHidden/>
    <w:rsid w:val="004A13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A1360"/>
    <w:rPr>
      <w:rFonts w:cs="Times New Roman"/>
      <w:sz w:val="20"/>
      <w:szCs w:val="20"/>
    </w:rPr>
  </w:style>
  <w:style w:type="character" w:styleId="Odwoanieprzypisukocowego">
    <w:name w:val="endnote reference"/>
    <w:basedOn w:val="Domylnaczcionkaakapitu"/>
    <w:uiPriority w:val="99"/>
    <w:semiHidden/>
    <w:rsid w:val="004A1360"/>
    <w:rPr>
      <w:rFonts w:cs="Times New Roman"/>
      <w:vertAlign w:val="superscript"/>
    </w:rPr>
  </w:style>
  <w:style w:type="paragraph" w:customStyle="1" w:styleId="Default">
    <w:name w:val="Default"/>
    <w:uiPriority w:val="99"/>
    <w:rsid w:val="005A38E3"/>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5A38E3"/>
    <w:rPr>
      <w:rFonts w:cs="Times New Roman"/>
      <w:color w:val="auto"/>
    </w:rPr>
  </w:style>
  <w:style w:type="paragraph" w:customStyle="1" w:styleId="CM3">
    <w:name w:val="CM3"/>
    <w:basedOn w:val="Default"/>
    <w:next w:val="Default"/>
    <w:uiPriority w:val="99"/>
    <w:rsid w:val="005A38E3"/>
    <w:rPr>
      <w:rFonts w:cs="Times New Roman"/>
      <w:color w:val="auto"/>
    </w:rPr>
  </w:style>
  <w:style w:type="paragraph" w:styleId="Nagwek">
    <w:name w:val="header"/>
    <w:basedOn w:val="Normalny"/>
    <w:link w:val="NagwekZnak"/>
    <w:uiPriority w:val="99"/>
    <w:rsid w:val="0011773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17739"/>
    <w:rPr>
      <w:rFonts w:cs="Times New Roman"/>
    </w:rPr>
  </w:style>
  <w:style w:type="paragraph" w:styleId="Tekstprzypisudolnego">
    <w:name w:val="footnote text"/>
    <w:basedOn w:val="Normalny"/>
    <w:link w:val="TekstprzypisudolnegoZnak"/>
    <w:uiPriority w:val="99"/>
    <w:semiHidden/>
    <w:rsid w:val="005A7000"/>
    <w:rPr>
      <w:sz w:val="20"/>
      <w:szCs w:val="20"/>
    </w:rPr>
  </w:style>
  <w:style w:type="character" w:customStyle="1" w:styleId="TekstprzypisudolnegoZnak">
    <w:name w:val="Tekst przypisu dolnego Znak"/>
    <w:basedOn w:val="Domylnaczcionkaakapitu"/>
    <w:link w:val="Tekstprzypisudolnego"/>
    <w:uiPriority w:val="99"/>
    <w:semiHidden/>
    <w:locked/>
    <w:rsid w:val="003054EA"/>
    <w:rPr>
      <w:rFonts w:cs="Times New Roman"/>
      <w:sz w:val="20"/>
      <w:szCs w:val="20"/>
    </w:rPr>
  </w:style>
  <w:style w:type="character" w:styleId="Odwoanieprzypisudolnego">
    <w:name w:val="footnote reference"/>
    <w:basedOn w:val="Domylnaczcionkaakapitu"/>
    <w:uiPriority w:val="99"/>
    <w:semiHidden/>
    <w:rsid w:val="005A700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955"/>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3E5C"/>
    <w:pPr>
      <w:ind w:left="720"/>
      <w:contextualSpacing/>
    </w:pPr>
  </w:style>
  <w:style w:type="paragraph" w:styleId="Stopka">
    <w:name w:val="footer"/>
    <w:basedOn w:val="Normalny"/>
    <w:link w:val="StopkaZnak"/>
    <w:uiPriority w:val="99"/>
    <w:rsid w:val="00163E5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63E5C"/>
    <w:rPr>
      <w:rFonts w:cs="Times New Roman"/>
    </w:rPr>
  </w:style>
  <w:style w:type="paragraph" w:customStyle="1" w:styleId="Enormal">
    <w:name w:val="E normal"/>
    <w:basedOn w:val="Normalny"/>
    <w:uiPriority w:val="99"/>
    <w:rsid w:val="00163E5C"/>
    <w:pPr>
      <w:spacing w:after="0" w:line="240" w:lineRule="auto"/>
      <w:ind w:firstLine="709"/>
      <w:jc w:val="both"/>
    </w:pPr>
    <w:rPr>
      <w:rFonts w:ascii="Times New Roman" w:hAnsi="Times New Roman"/>
      <w:sz w:val="24"/>
      <w:szCs w:val="20"/>
      <w:lang w:val="de-DE"/>
    </w:rPr>
  </w:style>
  <w:style w:type="paragraph" w:styleId="Tekstdymka">
    <w:name w:val="Balloon Text"/>
    <w:basedOn w:val="Normalny"/>
    <w:link w:val="TekstdymkaZnak"/>
    <w:uiPriority w:val="99"/>
    <w:semiHidden/>
    <w:rsid w:val="00163E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63E5C"/>
    <w:rPr>
      <w:rFonts w:ascii="Tahoma" w:hAnsi="Tahoma" w:cs="Tahoma"/>
      <w:sz w:val="16"/>
      <w:szCs w:val="16"/>
    </w:rPr>
  </w:style>
  <w:style w:type="character" w:styleId="Hipercze">
    <w:name w:val="Hyperlink"/>
    <w:basedOn w:val="Domylnaczcionkaakapitu"/>
    <w:uiPriority w:val="99"/>
    <w:rsid w:val="00D74F93"/>
    <w:rPr>
      <w:rFonts w:cs="Times New Roman"/>
      <w:color w:val="0000FF"/>
      <w:u w:val="single"/>
    </w:rPr>
  </w:style>
  <w:style w:type="paragraph" w:styleId="Zwykytekst">
    <w:name w:val="Plain Text"/>
    <w:basedOn w:val="Normalny"/>
    <w:link w:val="ZwykytekstZnak"/>
    <w:uiPriority w:val="99"/>
    <w:rsid w:val="007566F2"/>
    <w:pPr>
      <w:spacing w:after="0" w:line="240" w:lineRule="auto"/>
    </w:pPr>
  </w:style>
  <w:style w:type="character" w:customStyle="1" w:styleId="ZwykytekstZnak">
    <w:name w:val="Zwykły tekst Znak"/>
    <w:basedOn w:val="Domylnaczcionkaakapitu"/>
    <w:link w:val="Zwykytekst"/>
    <w:uiPriority w:val="99"/>
    <w:locked/>
    <w:rsid w:val="007566F2"/>
    <w:rPr>
      <w:rFonts w:ascii="Calibri" w:hAnsi="Calibri" w:cs="Times New Roman"/>
      <w:lang w:eastAsia="pl-PL"/>
    </w:rPr>
  </w:style>
  <w:style w:type="character" w:styleId="Odwoaniedokomentarza">
    <w:name w:val="annotation reference"/>
    <w:basedOn w:val="Domylnaczcionkaakapitu"/>
    <w:uiPriority w:val="99"/>
    <w:semiHidden/>
    <w:rsid w:val="00E33CEB"/>
    <w:rPr>
      <w:rFonts w:cs="Times New Roman"/>
      <w:sz w:val="16"/>
      <w:szCs w:val="16"/>
    </w:rPr>
  </w:style>
  <w:style w:type="paragraph" w:styleId="Tekstkomentarza">
    <w:name w:val="annotation text"/>
    <w:basedOn w:val="Normalny"/>
    <w:link w:val="TekstkomentarzaZnak"/>
    <w:uiPriority w:val="99"/>
    <w:semiHidden/>
    <w:rsid w:val="00E33CE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33CEB"/>
    <w:rPr>
      <w:rFonts w:cs="Times New Roman"/>
      <w:sz w:val="20"/>
      <w:szCs w:val="20"/>
    </w:rPr>
  </w:style>
  <w:style w:type="paragraph" w:styleId="Tematkomentarza">
    <w:name w:val="annotation subject"/>
    <w:basedOn w:val="Tekstkomentarza"/>
    <w:next w:val="Tekstkomentarza"/>
    <w:link w:val="TematkomentarzaZnak"/>
    <w:uiPriority w:val="99"/>
    <w:semiHidden/>
    <w:rsid w:val="00E33CEB"/>
    <w:rPr>
      <w:b/>
      <w:bCs/>
    </w:rPr>
  </w:style>
  <w:style w:type="character" w:customStyle="1" w:styleId="TematkomentarzaZnak">
    <w:name w:val="Temat komentarza Znak"/>
    <w:basedOn w:val="TekstkomentarzaZnak"/>
    <w:link w:val="Tematkomentarza"/>
    <w:uiPriority w:val="99"/>
    <w:semiHidden/>
    <w:locked/>
    <w:rsid w:val="00E33CEB"/>
    <w:rPr>
      <w:rFonts w:cs="Times New Roman"/>
      <w:b/>
      <w:bCs/>
      <w:sz w:val="20"/>
      <w:szCs w:val="20"/>
    </w:rPr>
  </w:style>
  <w:style w:type="paragraph" w:styleId="Tekstprzypisukocowego">
    <w:name w:val="endnote text"/>
    <w:basedOn w:val="Normalny"/>
    <w:link w:val="TekstprzypisukocowegoZnak"/>
    <w:uiPriority w:val="99"/>
    <w:semiHidden/>
    <w:rsid w:val="004A13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A1360"/>
    <w:rPr>
      <w:rFonts w:cs="Times New Roman"/>
      <w:sz w:val="20"/>
      <w:szCs w:val="20"/>
    </w:rPr>
  </w:style>
  <w:style w:type="character" w:styleId="Odwoanieprzypisukocowego">
    <w:name w:val="endnote reference"/>
    <w:basedOn w:val="Domylnaczcionkaakapitu"/>
    <w:uiPriority w:val="99"/>
    <w:semiHidden/>
    <w:rsid w:val="004A1360"/>
    <w:rPr>
      <w:rFonts w:cs="Times New Roman"/>
      <w:vertAlign w:val="superscript"/>
    </w:rPr>
  </w:style>
  <w:style w:type="paragraph" w:customStyle="1" w:styleId="Default">
    <w:name w:val="Default"/>
    <w:uiPriority w:val="99"/>
    <w:rsid w:val="005A38E3"/>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5A38E3"/>
    <w:rPr>
      <w:rFonts w:cs="Times New Roman"/>
      <w:color w:val="auto"/>
    </w:rPr>
  </w:style>
  <w:style w:type="paragraph" w:customStyle="1" w:styleId="CM3">
    <w:name w:val="CM3"/>
    <w:basedOn w:val="Default"/>
    <w:next w:val="Default"/>
    <w:uiPriority w:val="99"/>
    <w:rsid w:val="005A38E3"/>
    <w:rPr>
      <w:rFonts w:cs="Times New Roman"/>
      <w:color w:val="auto"/>
    </w:rPr>
  </w:style>
  <w:style w:type="paragraph" w:styleId="Nagwek">
    <w:name w:val="header"/>
    <w:basedOn w:val="Normalny"/>
    <w:link w:val="NagwekZnak"/>
    <w:uiPriority w:val="99"/>
    <w:rsid w:val="0011773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17739"/>
    <w:rPr>
      <w:rFonts w:cs="Times New Roman"/>
    </w:rPr>
  </w:style>
  <w:style w:type="paragraph" w:styleId="Tekstprzypisudolnego">
    <w:name w:val="footnote text"/>
    <w:basedOn w:val="Normalny"/>
    <w:link w:val="TekstprzypisudolnegoZnak"/>
    <w:uiPriority w:val="99"/>
    <w:semiHidden/>
    <w:rsid w:val="005A7000"/>
    <w:rPr>
      <w:sz w:val="20"/>
      <w:szCs w:val="20"/>
    </w:rPr>
  </w:style>
  <w:style w:type="character" w:customStyle="1" w:styleId="TekstprzypisudolnegoZnak">
    <w:name w:val="Tekst przypisu dolnego Znak"/>
    <w:basedOn w:val="Domylnaczcionkaakapitu"/>
    <w:link w:val="Tekstprzypisudolnego"/>
    <w:uiPriority w:val="99"/>
    <w:semiHidden/>
    <w:locked/>
    <w:rsid w:val="003054EA"/>
    <w:rPr>
      <w:rFonts w:cs="Times New Roman"/>
      <w:sz w:val="20"/>
      <w:szCs w:val="20"/>
    </w:rPr>
  </w:style>
  <w:style w:type="character" w:styleId="Odwoanieprzypisudolnego">
    <w:name w:val="footnote reference"/>
    <w:basedOn w:val="Domylnaczcionkaakapitu"/>
    <w:uiPriority w:val="99"/>
    <w:semiHidden/>
    <w:rsid w:val="005A700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89493">
      <w:marLeft w:val="0"/>
      <w:marRight w:val="0"/>
      <w:marTop w:val="0"/>
      <w:marBottom w:val="0"/>
      <w:divBdr>
        <w:top w:val="none" w:sz="0" w:space="0" w:color="auto"/>
        <w:left w:val="none" w:sz="0" w:space="0" w:color="auto"/>
        <w:bottom w:val="none" w:sz="0" w:space="0" w:color="auto"/>
        <w:right w:val="none" w:sz="0" w:space="0" w:color="auto"/>
      </w:divBdr>
    </w:div>
    <w:div w:id="285889494">
      <w:marLeft w:val="0"/>
      <w:marRight w:val="0"/>
      <w:marTop w:val="0"/>
      <w:marBottom w:val="0"/>
      <w:divBdr>
        <w:top w:val="none" w:sz="0" w:space="0" w:color="auto"/>
        <w:left w:val="none" w:sz="0" w:space="0" w:color="auto"/>
        <w:bottom w:val="none" w:sz="0" w:space="0" w:color="auto"/>
        <w:right w:val="none" w:sz="0" w:space="0" w:color="auto"/>
      </w:divBdr>
    </w:div>
    <w:div w:id="285889495">
      <w:marLeft w:val="0"/>
      <w:marRight w:val="0"/>
      <w:marTop w:val="0"/>
      <w:marBottom w:val="0"/>
      <w:divBdr>
        <w:top w:val="none" w:sz="0" w:space="0" w:color="auto"/>
        <w:left w:val="none" w:sz="0" w:space="0" w:color="auto"/>
        <w:bottom w:val="none" w:sz="0" w:space="0" w:color="auto"/>
        <w:right w:val="none" w:sz="0" w:space="0" w:color="auto"/>
      </w:divBdr>
    </w:div>
    <w:div w:id="285889496">
      <w:marLeft w:val="0"/>
      <w:marRight w:val="0"/>
      <w:marTop w:val="0"/>
      <w:marBottom w:val="0"/>
      <w:divBdr>
        <w:top w:val="none" w:sz="0" w:space="0" w:color="auto"/>
        <w:left w:val="none" w:sz="0" w:space="0" w:color="auto"/>
        <w:bottom w:val="none" w:sz="0" w:space="0" w:color="auto"/>
        <w:right w:val="none" w:sz="0" w:space="0" w:color="auto"/>
      </w:divBdr>
    </w:div>
    <w:div w:id="285889497">
      <w:marLeft w:val="0"/>
      <w:marRight w:val="0"/>
      <w:marTop w:val="0"/>
      <w:marBottom w:val="0"/>
      <w:divBdr>
        <w:top w:val="none" w:sz="0" w:space="0" w:color="auto"/>
        <w:left w:val="none" w:sz="0" w:space="0" w:color="auto"/>
        <w:bottom w:val="none" w:sz="0" w:space="0" w:color="auto"/>
        <w:right w:val="none" w:sz="0" w:space="0" w:color="auto"/>
      </w:divBdr>
    </w:div>
    <w:div w:id="285889498">
      <w:marLeft w:val="0"/>
      <w:marRight w:val="0"/>
      <w:marTop w:val="0"/>
      <w:marBottom w:val="0"/>
      <w:divBdr>
        <w:top w:val="none" w:sz="0" w:space="0" w:color="auto"/>
        <w:left w:val="none" w:sz="0" w:space="0" w:color="auto"/>
        <w:bottom w:val="none" w:sz="0" w:space="0" w:color="auto"/>
        <w:right w:val="none" w:sz="0" w:space="0" w:color="auto"/>
      </w:divBdr>
    </w:div>
    <w:div w:id="285889499">
      <w:marLeft w:val="0"/>
      <w:marRight w:val="0"/>
      <w:marTop w:val="0"/>
      <w:marBottom w:val="0"/>
      <w:divBdr>
        <w:top w:val="none" w:sz="0" w:space="0" w:color="auto"/>
        <w:left w:val="none" w:sz="0" w:space="0" w:color="auto"/>
        <w:bottom w:val="none" w:sz="0" w:space="0" w:color="auto"/>
        <w:right w:val="none" w:sz="0" w:space="0" w:color="auto"/>
      </w:divBdr>
    </w:div>
    <w:div w:id="285889500">
      <w:marLeft w:val="0"/>
      <w:marRight w:val="0"/>
      <w:marTop w:val="0"/>
      <w:marBottom w:val="0"/>
      <w:divBdr>
        <w:top w:val="none" w:sz="0" w:space="0" w:color="auto"/>
        <w:left w:val="none" w:sz="0" w:space="0" w:color="auto"/>
        <w:bottom w:val="none" w:sz="0" w:space="0" w:color="auto"/>
        <w:right w:val="none" w:sz="0" w:space="0" w:color="auto"/>
      </w:divBdr>
    </w:div>
    <w:div w:id="285889501">
      <w:marLeft w:val="0"/>
      <w:marRight w:val="0"/>
      <w:marTop w:val="0"/>
      <w:marBottom w:val="0"/>
      <w:divBdr>
        <w:top w:val="none" w:sz="0" w:space="0" w:color="auto"/>
        <w:left w:val="none" w:sz="0" w:space="0" w:color="auto"/>
        <w:bottom w:val="none" w:sz="0" w:space="0" w:color="auto"/>
        <w:right w:val="none" w:sz="0" w:space="0" w:color="auto"/>
      </w:divBdr>
    </w:div>
    <w:div w:id="285889502">
      <w:marLeft w:val="0"/>
      <w:marRight w:val="0"/>
      <w:marTop w:val="0"/>
      <w:marBottom w:val="0"/>
      <w:divBdr>
        <w:top w:val="none" w:sz="0" w:space="0" w:color="auto"/>
        <w:left w:val="none" w:sz="0" w:space="0" w:color="auto"/>
        <w:bottom w:val="none" w:sz="0" w:space="0" w:color="auto"/>
        <w:right w:val="none" w:sz="0" w:space="0" w:color="auto"/>
      </w:divBdr>
    </w:div>
    <w:div w:id="285889503">
      <w:marLeft w:val="0"/>
      <w:marRight w:val="0"/>
      <w:marTop w:val="0"/>
      <w:marBottom w:val="0"/>
      <w:divBdr>
        <w:top w:val="none" w:sz="0" w:space="0" w:color="auto"/>
        <w:left w:val="none" w:sz="0" w:space="0" w:color="auto"/>
        <w:bottom w:val="none" w:sz="0" w:space="0" w:color="auto"/>
        <w:right w:val="none" w:sz="0" w:space="0" w:color="auto"/>
      </w:divBdr>
    </w:div>
    <w:div w:id="285889504">
      <w:marLeft w:val="0"/>
      <w:marRight w:val="0"/>
      <w:marTop w:val="0"/>
      <w:marBottom w:val="0"/>
      <w:divBdr>
        <w:top w:val="none" w:sz="0" w:space="0" w:color="auto"/>
        <w:left w:val="none" w:sz="0" w:space="0" w:color="auto"/>
        <w:bottom w:val="none" w:sz="0" w:space="0" w:color="auto"/>
        <w:right w:val="none" w:sz="0" w:space="0" w:color="auto"/>
      </w:divBdr>
    </w:div>
    <w:div w:id="285889505">
      <w:marLeft w:val="0"/>
      <w:marRight w:val="0"/>
      <w:marTop w:val="0"/>
      <w:marBottom w:val="0"/>
      <w:divBdr>
        <w:top w:val="none" w:sz="0" w:space="0" w:color="auto"/>
        <w:left w:val="none" w:sz="0" w:space="0" w:color="auto"/>
        <w:bottom w:val="none" w:sz="0" w:space="0" w:color="auto"/>
        <w:right w:val="none" w:sz="0" w:space="0" w:color="auto"/>
      </w:divBdr>
    </w:div>
    <w:div w:id="285889506">
      <w:marLeft w:val="0"/>
      <w:marRight w:val="0"/>
      <w:marTop w:val="0"/>
      <w:marBottom w:val="0"/>
      <w:divBdr>
        <w:top w:val="none" w:sz="0" w:space="0" w:color="auto"/>
        <w:left w:val="none" w:sz="0" w:space="0" w:color="auto"/>
        <w:bottom w:val="none" w:sz="0" w:space="0" w:color="auto"/>
        <w:right w:val="none" w:sz="0" w:space="0" w:color="auto"/>
      </w:divBdr>
    </w:div>
    <w:div w:id="285889507">
      <w:marLeft w:val="0"/>
      <w:marRight w:val="0"/>
      <w:marTop w:val="0"/>
      <w:marBottom w:val="0"/>
      <w:divBdr>
        <w:top w:val="none" w:sz="0" w:space="0" w:color="auto"/>
        <w:left w:val="none" w:sz="0" w:space="0" w:color="auto"/>
        <w:bottom w:val="none" w:sz="0" w:space="0" w:color="auto"/>
        <w:right w:val="none" w:sz="0" w:space="0" w:color="auto"/>
      </w:divBdr>
    </w:div>
    <w:div w:id="285889508">
      <w:marLeft w:val="0"/>
      <w:marRight w:val="0"/>
      <w:marTop w:val="0"/>
      <w:marBottom w:val="0"/>
      <w:divBdr>
        <w:top w:val="none" w:sz="0" w:space="0" w:color="auto"/>
        <w:left w:val="none" w:sz="0" w:space="0" w:color="auto"/>
        <w:bottom w:val="none" w:sz="0" w:space="0" w:color="auto"/>
        <w:right w:val="none" w:sz="0" w:space="0" w:color="auto"/>
      </w:divBdr>
    </w:div>
    <w:div w:id="285889509">
      <w:marLeft w:val="0"/>
      <w:marRight w:val="0"/>
      <w:marTop w:val="0"/>
      <w:marBottom w:val="0"/>
      <w:divBdr>
        <w:top w:val="none" w:sz="0" w:space="0" w:color="auto"/>
        <w:left w:val="none" w:sz="0" w:space="0" w:color="auto"/>
        <w:bottom w:val="none" w:sz="0" w:space="0" w:color="auto"/>
        <w:right w:val="none" w:sz="0" w:space="0" w:color="auto"/>
      </w:divBdr>
    </w:div>
    <w:div w:id="285889510">
      <w:marLeft w:val="0"/>
      <w:marRight w:val="0"/>
      <w:marTop w:val="0"/>
      <w:marBottom w:val="0"/>
      <w:divBdr>
        <w:top w:val="none" w:sz="0" w:space="0" w:color="auto"/>
        <w:left w:val="none" w:sz="0" w:space="0" w:color="auto"/>
        <w:bottom w:val="none" w:sz="0" w:space="0" w:color="auto"/>
        <w:right w:val="none" w:sz="0" w:space="0" w:color="auto"/>
      </w:divBdr>
    </w:div>
    <w:div w:id="285889511">
      <w:marLeft w:val="0"/>
      <w:marRight w:val="0"/>
      <w:marTop w:val="0"/>
      <w:marBottom w:val="0"/>
      <w:divBdr>
        <w:top w:val="none" w:sz="0" w:space="0" w:color="auto"/>
        <w:left w:val="none" w:sz="0" w:space="0" w:color="auto"/>
        <w:bottom w:val="none" w:sz="0" w:space="0" w:color="auto"/>
        <w:right w:val="none" w:sz="0" w:space="0" w:color="auto"/>
      </w:divBdr>
    </w:div>
    <w:div w:id="285889512">
      <w:marLeft w:val="0"/>
      <w:marRight w:val="0"/>
      <w:marTop w:val="0"/>
      <w:marBottom w:val="0"/>
      <w:divBdr>
        <w:top w:val="none" w:sz="0" w:space="0" w:color="auto"/>
        <w:left w:val="none" w:sz="0" w:space="0" w:color="auto"/>
        <w:bottom w:val="none" w:sz="0" w:space="0" w:color="auto"/>
        <w:right w:val="none" w:sz="0" w:space="0" w:color="auto"/>
      </w:divBdr>
    </w:div>
    <w:div w:id="285889513">
      <w:marLeft w:val="0"/>
      <w:marRight w:val="0"/>
      <w:marTop w:val="0"/>
      <w:marBottom w:val="0"/>
      <w:divBdr>
        <w:top w:val="none" w:sz="0" w:space="0" w:color="auto"/>
        <w:left w:val="none" w:sz="0" w:space="0" w:color="auto"/>
        <w:bottom w:val="none" w:sz="0" w:space="0" w:color="auto"/>
        <w:right w:val="none" w:sz="0" w:space="0" w:color="auto"/>
      </w:divBdr>
    </w:div>
    <w:div w:id="285889514">
      <w:marLeft w:val="0"/>
      <w:marRight w:val="0"/>
      <w:marTop w:val="0"/>
      <w:marBottom w:val="0"/>
      <w:divBdr>
        <w:top w:val="none" w:sz="0" w:space="0" w:color="auto"/>
        <w:left w:val="none" w:sz="0" w:space="0" w:color="auto"/>
        <w:bottom w:val="none" w:sz="0" w:space="0" w:color="auto"/>
        <w:right w:val="none" w:sz="0" w:space="0" w:color="auto"/>
      </w:divBdr>
    </w:div>
    <w:div w:id="285889515">
      <w:marLeft w:val="0"/>
      <w:marRight w:val="0"/>
      <w:marTop w:val="0"/>
      <w:marBottom w:val="0"/>
      <w:divBdr>
        <w:top w:val="none" w:sz="0" w:space="0" w:color="auto"/>
        <w:left w:val="none" w:sz="0" w:space="0" w:color="auto"/>
        <w:bottom w:val="none" w:sz="0" w:space="0" w:color="auto"/>
        <w:right w:val="none" w:sz="0" w:space="0" w:color="auto"/>
      </w:divBdr>
    </w:div>
    <w:div w:id="285889516">
      <w:marLeft w:val="0"/>
      <w:marRight w:val="0"/>
      <w:marTop w:val="0"/>
      <w:marBottom w:val="0"/>
      <w:divBdr>
        <w:top w:val="none" w:sz="0" w:space="0" w:color="auto"/>
        <w:left w:val="none" w:sz="0" w:space="0" w:color="auto"/>
        <w:bottom w:val="none" w:sz="0" w:space="0" w:color="auto"/>
        <w:right w:val="none" w:sz="0" w:space="0" w:color="auto"/>
      </w:divBdr>
    </w:div>
    <w:div w:id="285889517">
      <w:marLeft w:val="0"/>
      <w:marRight w:val="0"/>
      <w:marTop w:val="0"/>
      <w:marBottom w:val="0"/>
      <w:divBdr>
        <w:top w:val="none" w:sz="0" w:space="0" w:color="auto"/>
        <w:left w:val="none" w:sz="0" w:space="0" w:color="auto"/>
        <w:bottom w:val="none" w:sz="0" w:space="0" w:color="auto"/>
        <w:right w:val="none" w:sz="0" w:space="0" w:color="auto"/>
      </w:divBdr>
    </w:div>
    <w:div w:id="285889518">
      <w:marLeft w:val="0"/>
      <w:marRight w:val="0"/>
      <w:marTop w:val="0"/>
      <w:marBottom w:val="0"/>
      <w:divBdr>
        <w:top w:val="none" w:sz="0" w:space="0" w:color="auto"/>
        <w:left w:val="none" w:sz="0" w:space="0" w:color="auto"/>
        <w:bottom w:val="none" w:sz="0" w:space="0" w:color="auto"/>
        <w:right w:val="none" w:sz="0" w:space="0" w:color="auto"/>
      </w:divBdr>
    </w:div>
    <w:div w:id="285889519">
      <w:marLeft w:val="0"/>
      <w:marRight w:val="0"/>
      <w:marTop w:val="0"/>
      <w:marBottom w:val="0"/>
      <w:divBdr>
        <w:top w:val="none" w:sz="0" w:space="0" w:color="auto"/>
        <w:left w:val="none" w:sz="0" w:space="0" w:color="auto"/>
        <w:bottom w:val="none" w:sz="0" w:space="0" w:color="auto"/>
        <w:right w:val="none" w:sz="0" w:space="0" w:color="auto"/>
      </w:divBdr>
    </w:div>
    <w:div w:id="285889520">
      <w:marLeft w:val="0"/>
      <w:marRight w:val="0"/>
      <w:marTop w:val="0"/>
      <w:marBottom w:val="0"/>
      <w:divBdr>
        <w:top w:val="none" w:sz="0" w:space="0" w:color="auto"/>
        <w:left w:val="none" w:sz="0" w:space="0" w:color="auto"/>
        <w:bottom w:val="none" w:sz="0" w:space="0" w:color="auto"/>
        <w:right w:val="none" w:sz="0" w:space="0" w:color="auto"/>
      </w:divBdr>
    </w:div>
    <w:div w:id="285889521">
      <w:marLeft w:val="0"/>
      <w:marRight w:val="0"/>
      <w:marTop w:val="0"/>
      <w:marBottom w:val="0"/>
      <w:divBdr>
        <w:top w:val="none" w:sz="0" w:space="0" w:color="auto"/>
        <w:left w:val="none" w:sz="0" w:space="0" w:color="auto"/>
        <w:bottom w:val="none" w:sz="0" w:space="0" w:color="auto"/>
        <w:right w:val="none" w:sz="0" w:space="0" w:color="auto"/>
      </w:divBdr>
    </w:div>
    <w:div w:id="15223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Wykorzystanie limitu</a:t>
            </a:r>
            <a:r>
              <a:rPr lang="pl-PL" baseline="0"/>
              <a:t> środków w ramach Schematu II w podziale na beneficjentów</a:t>
            </a:r>
            <a:br>
              <a:rPr lang="pl-PL" baseline="0"/>
            </a:br>
            <a:r>
              <a:rPr lang="pl-PL" baseline="0"/>
              <a:t>JR, ARiMR, ARR oraz JC wraz z IZ</a:t>
            </a:r>
            <a:endParaRPr lang="en-US"/>
          </a:p>
        </c:rich>
      </c:tx>
      <c:layout/>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wykorzystanie!$A$2:$A$20</c:f>
              <c:strCache>
                <c:ptCount val="19"/>
                <c:pt idx="0">
                  <c:v>SW dolnośląskiego</c:v>
                </c:pt>
                <c:pt idx="1">
                  <c:v>SW kujawsko-pomorskiego</c:v>
                </c:pt>
                <c:pt idx="2">
                  <c:v>SW lubelskiego</c:v>
                </c:pt>
                <c:pt idx="3">
                  <c:v>SW lubuskiego</c:v>
                </c:pt>
                <c:pt idx="4">
                  <c:v>SW łódzkiego</c:v>
                </c:pt>
                <c:pt idx="5">
                  <c:v>SW małopolskiego</c:v>
                </c:pt>
                <c:pt idx="6">
                  <c:v>SW mazowieckiego</c:v>
                </c:pt>
                <c:pt idx="7">
                  <c:v>SW opolskiego</c:v>
                </c:pt>
                <c:pt idx="8">
                  <c:v>SW podkarpackiego</c:v>
                </c:pt>
                <c:pt idx="9">
                  <c:v>SW podlaskiego</c:v>
                </c:pt>
                <c:pt idx="10">
                  <c:v>SW pomorskiego</c:v>
                </c:pt>
                <c:pt idx="11">
                  <c:v>SW śląskiego</c:v>
                </c:pt>
                <c:pt idx="12">
                  <c:v>SW świętokrzyskiego</c:v>
                </c:pt>
                <c:pt idx="13">
                  <c:v>SW warmińsko-mazurskiego</c:v>
                </c:pt>
                <c:pt idx="14">
                  <c:v>SW wielkopolskiego</c:v>
                </c:pt>
                <c:pt idx="15">
                  <c:v>SW zachodniopomorskiego</c:v>
                </c:pt>
                <c:pt idx="16">
                  <c:v>ARR</c:v>
                </c:pt>
                <c:pt idx="17">
                  <c:v>ARiMR</c:v>
                </c:pt>
                <c:pt idx="18">
                  <c:v>JC i IZ</c:v>
                </c:pt>
              </c:strCache>
            </c:strRef>
          </c:cat>
          <c:val>
            <c:numRef>
              <c:f>wykorzystanie!$E$2:$E$20</c:f>
              <c:numCache>
                <c:formatCode>0.00%</c:formatCode>
                <c:ptCount val="19"/>
                <c:pt idx="0">
                  <c:v>0.15964914393181032</c:v>
                </c:pt>
                <c:pt idx="1">
                  <c:v>0.26172078207358163</c:v>
                </c:pt>
                <c:pt idx="2">
                  <c:v>0.15468226222795678</c:v>
                </c:pt>
                <c:pt idx="3">
                  <c:v>0.20519822508401464</c:v>
                </c:pt>
                <c:pt idx="4">
                  <c:v>0.13889904380982779</c:v>
                </c:pt>
                <c:pt idx="5">
                  <c:v>0.22769405677291146</c:v>
                </c:pt>
                <c:pt idx="6">
                  <c:v>0.19919339244579437</c:v>
                </c:pt>
                <c:pt idx="7">
                  <c:v>0.2065322647269125</c:v>
                </c:pt>
                <c:pt idx="8">
                  <c:v>0.12968202315265903</c:v>
                </c:pt>
                <c:pt idx="9">
                  <c:v>0.13752510406387361</c:v>
                </c:pt>
                <c:pt idx="10">
                  <c:v>0.14095458263616553</c:v>
                </c:pt>
                <c:pt idx="11">
                  <c:v>0.19535765149977929</c:v>
                </c:pt>
                <c:pt idx="12">
                  <c:v>0.18378885293785391</c:v>
                </c:pt>
                <c:pt idx="13">
                  <c:v>0.17599989312263811</c:v>
                </c:pt>
                <c:pt idx="14">
                  <c:v>0.15685113287629315</c:v>
                </c:pt>
                <c:pt idx="15">
                  <c:v>0.1544552975700772</c:v>
                </c:pt>
                <c:pt idx="16">
                  <c:v>5.0338739026520453E-2</c:v>
                </c:pt>
                <c:pt idx="17">
                  <c:v>0.2304703898417032</c:v>
                </c:pt>
                <c:pt idx="18">
                  <c:v>0.22914959862974543</c:v>
                </c:pt>
              </c:numCache>
            </c:numRef>
          </c:val>
        </c:ser>
        <c:dLbls>
          <c:showLegendKey val="0"/>
          <c:showVal val="0"/>
          <c:showCatName val="0"/>
          <c:showSerName val="0"/>
          <c:showPercent val="0"/>
          <c:showBubbleSize val="0"/>
        </c:dLbls>
        <c:gapWidth val="150"/>
        <c:axId val="46835968"/>
        <c:axId val="47383680"/>
      </c:barChart>
      <c:catAx>
        <c:axId val="46835968"/>
        <c:scaling>
          <c:orientation val="maxMin"/>
        </c:scaling>
        <c:delete val="0"/>
        <c:axPos val="l"/>
        <c:majorTickMark val="out"/>
        <c:minorTickMark val="none"/>
        <c:tickLblPos val="nextTo"/>
        <c:crossAx val="47383680"/>
        <c:crosses val="autoZero"/>
        <c:auto val="1"/>
        <c:lblAlgn val="ctr"/>
        <c:lblOffset val="100"/>
        <c:noMultiLvlLbl val="0"/>
      </c:catAx>
      <c:valAx>
        <c:axId val="47383680"/>
        <c:scaling>
          <c:orientation val="minMax"/>
          <c:max val="0.35000000000000003"/>
        </c:scaling>
        <c:delete val="0"/>
        <c:axPos val="t"/>
        <c:majorGridlines>
          <c:spPr>
            <a:ln>
              <a:noFill/>
            </a:ln>
          </c:spPr>
        </c:majorGridlines>
        <c:numFmt formatCode="0%" sourceLinked="0"/>
        <c:majorTickMark val="out"/>
        <c:minorTickMark val="none"/>
        <c:tickLblPos val="nextTo"/>
        <c:crossAx val="4683596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Wykorzystanie limitu środków w ramach Schematu II w podziale na beneficjentów</a:t>
            </a:r>
            <a:br>
              <a:rPr lang="pl-PL"/>
            </a:br>
            <a:r>
              <a:rPr lang="pl-PL"/>
              <a:t>CDR i WODR-y</a:t>
            </a:r>
            <a:endParaRPr lang="en-US"/>
          </a:p>
        </c:rich>
      </c:tx>
      <c:layout/>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wykorzystanie!$A$21:$A$37</c:f>
              <c:strCache>
                <c:ptCount val="17"/>
                <c:pt idx="0">
                  <c:v>CDR</c:v>
                </c:pt>
                <c:pt idx="1">
                  <c:v>Dolnośląski ODR</c:v>
                </c:pt>
                <c:pt idx="2">
                  <c:v>Kujawsko-pomorski ODR</c:v>
                </c:pt>
                <c:pt idx="3">
                  <c:v>Lubelski ODR</c:v>
                </c:pt>
                <c:pt idx="4">
                  <c:v>Lubuski ODR</c:v>
                </c:pt>
                <c:pt idx="5">
                  <c:v>Łódzki ODR</c:v>
                </c:pt>
                <c:pt idx="6">
                  <c:v>Małopolski ODR</c:v>
                </c:pt>
                <c:pt idx="7">
                  <c:v>Mazowiecki ODR</c:v>
                </c:pt>
                <c:pt idx="8">
                  <c:v>Opolski ODR</c:v>
                </c:pt>
                <c:pt idx="9">
                  <c:v>Podkarpacki ODR</c:v>
                </c:pt>
                <c:pt idx="10">
                  <c:v>Podlaski ODR</c:v>
                </c:pt>
                <c:pt idx="11">
                  <c:v>Pomorski ODR</c:v>
                </c:pt>
                <c:pt idx="12">
                  <c:v>Śląski ODR</c:v>
                </c:pt>
                <c:pt idx="13">
                  <c:v>Świętokrzyski ODR</c:v>
                </c:pt>
                <c:pt idx="14">
                  <c:v>Warmińsko-mazurski ODR</c:v>
                </c:pt>
                <c:pt idx="15">
                  <c:v>Wielkopolski ODR</c:v>
                </c:pt>
                <c:pt idx="16">
                  <c:v>Zachodniopomorski ODR</c:v>
                </c:pt>
              </c:strCache>
            </c:strRef>
          </c:cat>
          <c:val>
            <c:numRef>
              <c:f>wykorzystanie!$E$21:$E$37</c:f>
              <c:numCache>
                <c:formatCode>0.00%</c:formatCode>
                <c:ptCount val="17"/>
                <c:pt idx="0">
                  <c:v>0.18115859037514206</c:v>
                </c:pt>
                <c:pt idx="1">
                  <c:v>0.20779261126478102</c:v>
                </c:pt>
                <c:pt idx="2">
                  <c:v>0.28639022942245035</c:v>
                </c:pt>
                <c:pt idx="3">
                  <c:v>0.17869168106503716</c:v>
                </c:pt>
                <c:pt idx="4">
                  <c:v>0.18803526250227884</c:v>
                </c:pt>
                <c:pt idx="5">
                  <c:v>0.20945605118810698</c:v>
                </c:pt>
                <c:pt idx="6">
                  <c:v>0.15038047804652963</c:v>
                </c:pt>
                <c:pt idx="7">
                  <c:v>0.23962716121805358</c:v>
                </c:pt>
                <c:pt idx="8">
                  <c:v>0.20493638737347722</c:v>
                </c:pt>
                <c:pt idx="9">
                  <c:v>0.27620554446658069</c:v>
                </c:pt>
                <c:pt idx="10">
                  <c:v>0.24264117910020491</c:v>
                </c:pt>
                <c:pt idx="11">
                  <c:v>0.16267538502826598</c:v>
                </c:pt>
                <c:pt idx="12">
                  <c:v>0.25889350582130483</c:v>
                </c:pt>
                <c:pt idx="13">
                  <c:v>0.29269808782285672</c:v>
                </c:pt>
                <c:pt idx="14">
                  <c:v>0.29110522751360346</c:v>
                </c:pt>
                <c:pt idx="15">
                  <c:v>0.21578502107723055</c:v>
                </c:pt>
                <c:pt idx="16">
                  <c:v>0.16029253099387289</c:v>
                </c:pt>
              </c:numCache>
            </c:numRef>
          </c:val>
        </c:ser>
        <c:dLbls>
          <c:showLegendKey val="0"/>
          <c:showVal val="0"/>
          <c:showCatName val="0"/>
          <c:showSerName val="0"/>
          <c:showPercent val="0"/>
          <c:showBubbleSize val="0"/>
        </c:dLbls>
        <c:gapWidth val="150"/>
        <c:axId val="115318144"/>
        <c:axId val="116679808"/>
      </c:barChart>
      <c:catAx>
        <c:axId val="115318144"/>
        <c:scaling>
          <c:orientation val="maxMin"/>
        </c:scaling>
        <c:delete val="0"/>
        <c:axPos val="l"/>
        <c:majorTickMark val="out"/>
        <c:minorTickMark val="none"/>
        <c:tickLblPos val="nextTo"/>
        <c:crossAx val="116679808"/>
        <c:crosses val="autoZero"/>
        <c:auto val="1"/>
        <c:lblAlgn val="ctr"/>
        <c:lblOffset val="100"/>
        <c:noMultiLvlLbl val="0"/>
      </c:catAx>
      <c:valAx>
        <c:axId val="116679808"/>
        <c:scaling>
          <c:orientation val="minMax"/>
        </c:scaling>
        <c:delete val="0"/>
        <c:axPos val="t"/>
        <c:majorGridlines>
          <c:spPr>
            <a:ln>
              <a:noFill/>
            </a:ln>
          </c:spPr>
        </c:majorGridlines>
        <c:numFmt formatCode="0%" sourceLinked="0"/>
        <c:majorTickMark val="out"/>
        <c:minorTickMark val="none"/>
        <c:tickLblPos val="nextTo"/>
        <c:crossAx val="11531814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Wykorzystanie dostępnego limitu</a:t>
            </a:r>
            <a:r>
              <a:rPr lang="pl-PL" baseline="0"/>
              <a:t> środków </a:t>
            </a:r>
            <a:br>
              <a:rPr lang="pl-PL" baseline="0"/>
            </a:br>
            <a:r>
              <a:rPr lang="pl-PL" baseline="0"/>
              <a:t>na funkcjonowanie oraz Plan działania</a:t>
            </a:r>
            <a:endParaRPr lang="en-US"/>
          </a:p>
        </c:rich>
      </c:tx>
      <c:layout/>
      <c:overlay val="0"/>
    </c:title>
    <c:autoTitleDeleted val="0"/>
    <c:plotArea>
      <c:layout/>
      <c:barChart>
        <c:barDir val="bar"/>
        <c:grouping val="clustered"/>
        <c:varyColors val="0"/>
        <c:ser>
          <c:idx val="0"/>
          <c:order val="0"/>
          <c:tx>
            <c:strRef>
              <c:f>Arkusz1!$C$1</c:f>
              <c:strCache>
                <c:ptCount val="1"/>
                <c:pt idx="0">
                  <c:v>Funkcjonowanie</c:v>
                </c:pt>
              </c:strCache>
            </c:strRef>
          </c:tx>
          <c:invertIfNegative val="0"/>
          <c:dLbls>
            <c:showLegendKey val="0"/>
            <c:showVal val="1"/>
            <c:showCatName val="0"/>
            <c:showSerName val="0"/>
            <c:showPercent val="0"/>
            <c:showBubbleSize val="0"/>
            <c:showLeaderLines val="0"/>
          </c:dLbls>
          <c:cat>
            <c:strRef>
              <c:f>Arkusz1!$B$2:$B$20</c:f>
              <c:strCache>
                <c:ptCount val="19"/>
                <c:pt idx="0">
                  <c:v>SW dolnośląskiego</c:v>
                </c:pt>
                <c:pt idx="1">
                  <c:v>SW kujawsko-pomorskiego</c:v>
                </c:pt>
                <c:pt idx="2">
                  <c:v>SW lubelskiego</c:v>
                </c:pt>
                <c:pt idx="3">
                  <c:v>SW lubuskiego</c:v>
                </c:pt>
                <c:pt idx="4">
                  <c:v>SW łódzkiego</c:v>
                </c:pt>
                <c:pt idx="5">
                  <c:v>SW małopolskiego</c:v>
                </c:pt>
                <c:pt idx="6">
                  <c:v>SW mazowieckiego</c:v>
                </c:pt>
                <c:pt idx="7">
                  <c:v>SW opolskiego</c:v>
                </c:pt>
                <c:pt idx="8">
                  <c:v>SW podkarpackiego</c:v>
                </c:pt>
                <c:pt idx="9">
                  <c:v>SW podlaskiego</c:v>
                </c:pt>
                <c:pt idx="10">
                  <c:v>SW pomorskiego</c:v>
                </c:pt>
                <c:pt idx="11">
                  <c:v>SW śląskiego</c:v>
                </c:pt>
                <c:pt idx="12">
                  <c:v>SW świętokrzyskiego</c:v>
                </c:pt>
                <c:pt idx="13">
                  <c:v>SW warmińsko-mazurskiego</c:v>
                </c:pt>
                <c:pt idx="14">
                  <c:v>SW wielkopolskiego</c:v>
                </c:pt>
                <c:pt idx="15">
                  <c:v>SW zachodniopomorskiego</c:v>
                </c:pt>
                <c:pt idx="16">
                  <c:v>ARR</c:v>
                </c:pt>
                <c:pt idx="17">
                  <c:v>ARiMR</c:v>
                </c:pt>
                <c:pt idx="18">
                  <c:v>JC i IZ</c:v>
                </c:pt>
              </c:strCache>
            </c:strRef>
          </c:cat>
          <c:val>
            <c:numRef>
              <c:f>Arkusz1!$C$2:$C$20</c:f>
              <c:numCache>
                <c:formatCode>0.00%</c:formatCode>
                <c:ptCount val="19"/>
                <c:pt idx="0">
                  <c:v>0.18655874245306206</c:v>
                </c:pt>
                <c:pt idx="1">
                  <c:v>0.19214066460350165</c:v>
                </c:pt>
                <c:pt idx="2">
                  <c:v>0.135388045066371</c:v>
                </c:pt>
                <c:pt idx="3">
                  <c:v>0.19702232635794587</c:v>
                </c:pt>
                <c:pt idx="4">
                  <c:v>0.20430837058577153</c:v>
                </c:pt>
                <c:pt idx="5">
                  <c:v>0.23250907733833662</c:v>
                </c:pt>
                <c:pt idx="6">
                  <c:v>0.20692598952815836</c:v>
                </c:pt>
                <c:pt idx="7">
                  <c:v>0.38219468989701494</c:v>
                </c:pt>
                <c:pt idx="8">
                  <c:v>0.11788699109559284</c:v>
                </c:pt>
                <c:pt idx="9">
                  <c:v>0.15019616733957886</c:v>
                </c:pt>
                <c:pt idx="10">
                  <c:v>0.20669404461238122</c:v>
                </c:pt>
                <c:pt idx="11">
                  <c:v>0.23403035950137749</c:v>
                </c:pt>
                <c:pt idx="12">
                  <c:v>0.24576722938545725</c:v>
                </c:pt>
                <c:pt idx="13">
                  <c:v>0.16728944215487054</c:v>
                </c:pt>
                <c:pt idx="14">
                  <c:v>0.10102945564114732</c:v>
                </c:pt>
                <c:pt idx="15">
                  <c:v>0.18358288327789285</c:v>
                </c:pt>
                <c:pt idx="16">
                  <c:v>0</c:v>
                </c:pt>
                <c:pt idx="17">
                  <c:v>0</c:v>
                </c:pt>
                <c:pt idx="18">
                  <c:v>0.39689999999999998</c:v>
                </c:pt>
              </c:numCache>
            </c:numRef>
          </c:val>
        </c:ser>
        <c:ser>
          <c:idx val="1"/>
          <c:order val="1"/>
          <c:tx>
            <c:strRef>
              <c:f>Arkusz1!$D$1</c:f>
              <c:strCache>
                <c:ptCount val="1"/>
                <c:pt idx="0">
                  <c:v>Plan działania</c:v>
                </c:pt>
              </c:strCache>
            </c:strRef>
          </c:tx>
          <c:invertIfNegative val="0"/>
          <c:dLbls>
            <c:showLegendKey val="0"/>
            <c:showVal val="1"/>
            <c:showCatName val="0"/>
            <c:showSerName val="0"/>
            <c:showPercent val="0"/>
            <c:showBubbleSize val="0"/>
            <c:showLeaderLines val="0"/>
          </c:dLbls>
          <c:cat>
            <c:strRef>
              <c:f>Arkusz1!$B$2:$B$20</c:f>
              <c:strCache>
                <c:ptCount val="19"/>
                <c:pt idx="0">
                  <c:v>SW dolnośląskiego</c:v>
                </c:pt>
                <c:pt idx="1">
                  <c:v>SW kujawsko-pomorskiego</c:v>
                </c:pt>
                <c:pt idx="2">
                  <c:v>SW lubelskiego</c:v>
                </c:pt>
                <c:pt idx="3">
                  <c:v>SW lubuskiego</c:v>
                </c:pt>
                <c:pt idx="4">
                  <c:v>SW łódzkiego</c:v>
                </c:pt>
                <c:pt idx="5">
                  <c:v>SW małopolskiego</c:v>
                </c:pt>
                <c:pt idx="6">
                  <c:v>SW mazowieckiego</c:v>
                </c:pt>
                <c:pt idx="7">
                  <c:v>SW opolskiego</c:v>
                </c:pt>
                <c:pt idx="8">
                  <c:v>SW podkarpackiego</c:v>
                </c:pt>
                <c:pt idx="9">
                  <c:v>SW podlaskiego</c:v>
                </c:pt>
                <c:pt idx="10">
                  <c:v>SW pomorskiego</c:v>
                </c:pt>
                <c:pt idx="11">
                  <c:v>SW śląskiego</c:v>
                </c:pt>
                <c:pt idx="12">
                  <c:v>SW świętokrzyskiego</c:v>
                </c:pt>
                <c:pt idx="13">
                  <c:v>SW warmińsko-mazurskiego</c:v>
                </c:pt>
                <c:pt idx="14">
                  <c:v>SW wielkopolskiego</c:v>
                </c:pt>
                <c:pt idx="15">
                  <c:v>SW zachodniopomorskiego</c:v>
                </c:pt>
                <c:pt idx="16">
                  <c:v>ARR</c:v>
                </c:pt>
                <c:pt idx="17">
                  <c:v>ARiMR</c:v>
                </c:pt>
                <c:pt idx="18">
                  <c:v>JC i IZ</c:v>
                </c:pt>
              </c:strCache>
            </c:strRef>
          </c:cat>
          <c:val>
            <c:numRef>
              <c:f>Arkusz1!$D$2:$D$20</c:f>
              <c:numCache>
                <c:formatCode>0.00%</c:formatCode>
                <c:ptCount val="19"/>
                <c:pt idx="0">
                  <c:v>0.15067927775805973</c:v>
                </c:pt>
                <c:pt idx="1">
                  <c:v>0.2849141545636083</c:v>
                </c:pt>
                <c:pt idx="2">
                  <c:v>0.16111366794848539</c:v>
                </c:pt>
                <c:pt idx="3">
                  <c:v>0.20792352465937092</c:v>
                </c:pt>
                <c:pt idx="4">
                  <c:v>0.11709593488451323</c:v>
                </c:pt>
                <c:pt idx="5">
                  <c:v>0.22608904991776971</c:v>
                </c:pt>
                <c:pt idx="6">
                  <c:v>0.19661586008500639</c:v>
                </c:pt>
                <c:pt idx="7">
                  <c:v>0.14797812300354504</c:v>
                </c:pt>
                <c:pt idx="8">
                  <c:v>0.13361370050501442</c:v>
                </c:pt>
                <c:pt idx="9">
                  <c:v>0.1333014163053052</c:v>
                </c:pt>
                <c:pt idx="10">
                  <c:v>0.11904142864409362</c:v>
                </c:pt>
                <c:pt idx="11">
                  <c:v>0.18246674883257988</c:v>
                </c:pt>
                <c:pt idx="12">
                  <c:v>0.16312939412198615</c:v>
                </c:pt>
                <c:pt idx="13">
                  <c:v>0.17890337677856066</c:v>
                </c:pt>
                <c:pt idx="14">
                  <c:v>0.17545835862134174</c:v>
                </c:pt>
                <c:pt idx="15">
                  <c:v>0.14474610233413865</c:v>
                </c:pt>
                <c:pt idx="16">
                  <c:v>5.0338739026520453E-2</c:v>
                </c:pt>
                <c:pt idx="17">
                  <c:v>0.2304703898417032</c:v>
                </c:pt>
                <c:pt idx="18">
                  <c:v>0.17322945822441729</c:v>
                </c:pt>
              </c:numCache>
            </c:numRef>
          </c:val>
        </c:ser>
        <c:dLbls>
          <c:showLegendKey val="0"/>
          <c:showVal val="0"/>
          <c:showCatName val="0"/>
          <c:showSerName val="0"/>
          <c:showPercent val="0"/>
          <c:showBubbleSize val="0"/>
        </c:dLbls>
        <c:gapWidth val="150"/>
        <c:overlap val="-38"/>
        <c:axId val="83664896"/>
        <c:axId val="83666816"/>
      </c:barChart>
      <c:catAx>
        <c:axId val="83664896"/>
        <c:scaling>
          <c:orientation val="maxMin"/>
        </c:scaling>
        <c:delete val="0"/>
        <c:axPos val="l"/>
        <c:majorTickMark val="out"/>
        <c:minorTickMark val="none"/>
        <c:tickLblPos val="nextTo"/>
        <c:crossAx val="83666816"/>
        <c:crosses val="autoZero"/>
        <c:auto val="1"/>
        <c:lblAlgn val="ctr"/>
        <c:lblOffset val="100"/>
        <c:noMultiLvlLbl val="0"/>
      </c:catAx>
      <c:valAx>
        <c:axId val="83666816"/>
        <c:scaling>
          <c:orientation val="minMax"/>
          <c:max val="0.45"/>
        </c:scaling>
        <c:delete val="0"/>
        <c:axPos val="t"/>
        <c:majorGridlines>
          <c:spPr>
            <a:ln>
              <a:noFill/>
            </a:ln>
          </c:spPr>
        </c:majorGridlines>
        <c:numFmt formatCode="0%" sourceLinked="0"/>
        <c:majorTickMark val="out"/>
        <c:minorTickMark val="none"/>
        <c:tickLblPos val="nextTo"/>
        <c:crossAx val="83664896"/>
        <c:crosses val="autoZero"/>
        <c:crossBetween val="between"/>
      </c:valAx>
    </c:plotArea>
    <c:legend>
      <c:legendPos val="b"/>
      <c:layout>
        <c:manualLayout>
          <c:xMode val="edge"/>
          <c:yMode val="edge"/>
          <c:x val="0.30086639237480622"/>
          <c:y val="0.96006150350609154"/>
          <c:w val="0.4509854927879044"/>
          <c:h val="2.9988247737689506E-2"/>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Wykorzystanie dostępnego</a:t>
            </a:r>
            <a:r>
              <a:rPr lang="pl-PL" baseline="0"/>
              <a:t> </a:t>
            </a:r>
            <a:r>
              <a:rPr lang="pl-PL"/>
              <a:t>limitu</a:t>
            </a:r>
            <a:r>
              <a:rPr lang="pl-PL" baseline="0"/>
              <a:t> środków</a:t>
            </a:r>
            <a:br>
              <a:rPr lang="pl-PL" baseline="0"/>
            </a:br>
            <a:r>
              <a:rPr lang="pl-PL" baseline="0"/>
              <a:t>na funkcjonowanie oraz Plan działania</a:t>
            </a:r>
            <a:endParaRPr lang="en-US"/>
          </a:p>
        </c:rich>
      </c:tx>
      <c:layout/>
      <c:overlay val="0"/>
    </c:title>
    <c:autoTitleDeleted val="0"/>
    <c:plotArea>
      <c:layout/>
      <c:barChart>
        <c:barDir val="bar"/>
        <c:grouping val="clustered"/>
        <c:varyColors val="0"/>
        <c:ser>
          <c:idx val="0"/>
          <c:order val="0"/>
          <c:tx>
            <c:strRef>
              <c:f>Arkusz1!$C$1</c:f>
              <c:strCache>
                <c:ptCount val="1"/>
                <c:pt idx="0">
                  <c:v>Funkcjonowanie</c:v>
                </c:pt>
              </c:strCache>
            </c:strRef>
          </c:tx>
          <c:invertIfNegative val="0"/>
          <c:dLbls>
            <c:showLegendKey val="0"/>
            <c:showVal val="1"/>
            <c:showCatName val="0"/>
            <c:showSerName val="0"/>
            <c:showPercent val="0"/>
            <c:showBubbleSize val="0"/>
            <c:showLeaderLines val="0"/>
          </c:dLbls>
          <c:cat>
            <c:strRef>
              <c:f>Arkusz1!$B$21:$B$37</c:f>
              <c:strCache>
                <c:ptCount val="17"/>
                <c:pt idx="0">
                  <c:v>CDR</c:v>
                </c:pt>
                <c:pt idx="1">
                  <c:v>Dolnośląski ODR</c:v>
                </c:pt>
                <c:pt idx="2">
                  <c:v>Kujawsko-pomorski ODR</c:v>
                </c:pt>
                <c:pt idx="3">
                  <c:v>Lubelski ODR</c:v>
                </c:pt>
                <c:pt idx="4">
                  <c:v>Lubuski ODR</c:v>
                </c:pt>
                <c:pt idx="5">
                  <c:v>Łódzki ODR</c:v>
                </c:pt>
                <c:pt idx="6">
                  <c:v>Małopolski ODR</c:v>
                </c:pt>
                <c:pt idx="7">
                  <c:v>Mazowiecki ODR</c:v>
                </c:pt>
                <c:pt idx="8">
                  <c:v>Opolski ODR</c:v>
                </c:pt>
                <c:pt idx="9">
                  <c:v>Podkarpacki ODR</c:v>
                </c:pt>
                <c:pt idx="10">
                  <c:v>Podlaski ODR</c:v>
                </c:pt>
                <c:pt idx="11">
                  <c:v>Pomorski ODR</c:v>
                </c:pt>
                <c:pt idx="12">
                  <c:v>Śląski ODR</c:v>
                </c:pt>
                <c:pt idx="13">
                  <c:v>Świętokrzyski ODR</c:v>
                </c:pt>
                <c:pt idx="14">
                  <c:v>Warmińsko-mazurski ODR</c:v>
                </c:pt>
                <c:pt idx="15">
                  <c:v>Wielkopolski ODR</c:v>
                </c:pt>
                <c:pt idx="16">
                  <c:v>Zachodniopomorski ODR</c:v>
                </c:pt>
              </c:strCache>
            </c:strRef>
          </c:cat>
          <c:val>
            <c:numRef>
              <c:f>Arkusz1!$C$21:$C$37</c:f>
              <c:numCache>
                <c:formatCode>0.00%</c:formatCode>
                <c:ptCount val="17"/>
                <c:pt idx="0">
                  <c:v>0.22287460401667292</c:v>
                </c:pt>
                <c:pt idx="1">
                  <c:v>0.42051672090629943</c:v>
                </c:pt>
                <c:pt idx="2">
                  <c:v>0.49742292414641154</c:v>
                </c:pt>
                <c:pt idx="3">
                  <c:v>0.35205116345701459</c:v>
                </c:pt>
                <c:pt idx="4">
                  <c:v>0.44446467291897956</c:v>
                </c:pt>
                <c:pt idx="5">
                  <c:v>0.57680563525608652</c:v>
                </c:pt>
                <c:pt idx="6">
                  <c:v>0.40139682400455085</c:v>
                </c:pt>
                <c:pt idx="7">
                  <c:v>0.34192586327127239</c:v>
                </c:pt>
                <c:pt idx="8">
                  <c:v>0.51601227752395762</c:v>
                </c:pt>
                <c:pt idx="9">
                  <c:v>0.47229440072278484</c:v>
                </c:pt>
                <c:pt idx="10">
                  <c:v>0.47087146820980247</c:v>
                </c:pt>
                <c:pt idx="11">
                  <c:v>0.50361013508360697</c:v>
                </c:pt>
                <c:pt idx="12">
                  <c:v>0.3906101557005357</c:v>
                </c:pt>
                <c:pt idx="13">
                  <c:v>0.46757630708766201</c:v>
                </c:pt>
                <c:pt idx="14">
                  <c:v>0.49747800180937174</c:v>
                </c:pt>
                <c:pt idx="15">
                  <c:v>0.46941138916918351</c:v>
                </c:pt>
                <c:pt idx="16">
                  <c:v>0.4710030682043192</c:v>
                </c:pt>
              </c:numCache>
            </c:numRef>
          </c:val>
        </c:ser>
        <c:ser>
          <c:idx val="1"/>
          <c:order val="1"/>
          <c:tx>
            <c:strRef>
              <c:f>Arkusz1!$D$1</c:f>
              <c:strCache>
                <c:ptCount val="1"/>
                <c:pt idx="0">
                  <c:v>Plan działania</c:v>
                </c:pt>
              </c:strCache>
            </c:strRef>
          </c:tx>
          <c:invertIfNegative val="0"/>
          <c:dLbls>
            <c:showLegendKey val="0"/>
            <c:showVal val="1"/>
            <c:showCatName val="0"/>
            <c:showSerName val="0"/>
            <c:showPercent val="0"/>
            <c:showBubbleSize val="0"/>
            <c:showLeaderLines val="0"/>
          </c:dLbls>
          <c:cat>
            <c:strRef>
              <c:f>Arkusz1!$B$21:$B$37</c:f>
              <c:strCache>
                <c:ptCount val="17"/>
                <c:pt idx="0">
                  <c:v>CDR</c:v>
                </c:pt>
                <c:pt idx="1">
                  <c:v>Dolnośląski ODR</c:v>
                </c:pt>
                <c:pt idx="2">
                  <c:v>Kujawsko-pomorski ODR</c:v>
                </c:pt>
                <c:pt idx="3">
                  <c:v>Lubelski ODR</c:v>
                </c:pt>
                <c:pt idx="4">
                  <c:v>Lubuski ODR</c:v>
                </c:pt>
                <c:pt idx="5">
                  <c:v>Łódzki ODR</c:v>
                </c:pt>
                <c:pt idx="6">
                  <c:v>Małopolski ODR</c:v>
                </c:pt>
                <c:pt idx="7">
                  <c:v>Mazowiecki ODR</c:v>
                </c:pt>
                <c:pt idx="8">
                  <c:v>Opolski ODR</c:v>
                </c:pt>
                <c:pt idx="9">
                  <c:v>Podkarpacki ODR</c:v>
                </c:pt>
                <c:pt idx="10">
                  <c:v>Podlaski ODR</c:v>
                </c:pt>
                <c:pt idx="11">
                  <c:v>Pomorski ODR</c:v>
                </c:pt>
                <c:pt idx="12">
                  <c:v>Śląski ODR</c:v>
                </c:pt>
                <c:pt idx="13">
                  <c:v>Świętokrzyski ODR</c:v>
                </c:pt>
                <c:pt idx="14">
                  <c:v>Warmińsko-mazurski ODR</c:v>
                </c:pt>
                <c:pt idx="15">
                  <c:v>Wielkopolski ODR</c:v>
                </c:pt>
                <c:pt idx="16">
                  <c:v>Zachodniopomorski ODR</c:v>
                </c:pt>
              </c:strCache>
            </c:strRef>
          </c:cat>
          <c:val>
            <c:numRef>
              <c:f>Arkusz1!$D$21:$D$37</c:f>
              <c:numCache>
                <c:formatCode>0.00%</c:formatCode>
                <c:ptCount val="17"/>
                <c:pt idx="0">
                  <c:v>0.16725325249463177</c:v>
                </c:pt>
                <c:pt idx="1">
                  <c:v>0.1368845747176082</c:v>
                </c:pt>
                <c:pt idx="2">
                  <c:v>0.21604599784779657</c:v>
                </c:pt>
                <c:pt idx="3">
                  <c:v>0.12090518693437804</c:v>
                </c:pt>
                <c:pt idx="4">
                  <c:v>0.10255879236337863</c:v>
                </c:pt>
                <c:pt idx="5">
                  <c:v>8.7006189832113792E-2</c:v>
                </c:pt>
                <c:pt idx="6">
                  <c:v>6.6708362727189219E-2</c:v>
                </c:pt>
                <c:pt idx="7">
                  <c:v>0.20552759386698063</c:v>
                </c:pt>
                <c:pt idx="8">
                  <c:v>0.10124442398998375</c:v>
                </c:pt>
                <c:pt idx="9">
                  <c:v>0.21084259238117931</c:v>
                </c:pt>
                <c:pt idx="10">
                  <c:v>0.16656441606367242</c:v>
                </c:pt>
                <c:pt idx="11">
                  <c:v>4.9030468343152285E-2</c:v>
                </c:pt>
                <c:pt idx="12">
                  <c:v>0.21498795586156119</c:v>
                </c:pt>
                <c:pt idx="13">
                  <c:v>0.23440534806792165</c:v>
                </c:pt>
                <c:pt idx="14">
                  <c:v>0.22231430274834738</c:v>
                </c:pt>
                <c:pt idx="15">
                  <c:v>0.1312428983799129</c:v>
                </c:pt>
                <c:pt idx="16">
                  <c:v>5.6722351923724122E-2</c:v>
                </c:pt>
              </c:numCache>
            </c:numRef>
          </c:val>
        </c:ser>
        <c:dLbls>
          <c:showLegendKey val="0"/>
          <c:showVal val="0"/>
          <c:showCatName val="0"/>
          <c:showSerName val="0"/>
          <c:showPercent val="0"/>
          <c:showBubbleSize val="0"/>
        </c:dLbls>
        <c:gapWidth val="150"/>
        <c:overlap val="-38"/>
        <c:axId val="120299520"/>
        <c:axId val="120301056"/>
      </c:barChart>
      <c:catAx>
        <c:axId val="120299520"/>
        <c:scaling>
          <c:orientation val="maxMin"/>
        </c:scaling>
        <c:delete val="0"/>
        <c:axPos val="l"/>
        <c:majorTickMark val="out"/>
        <c:minorTickMark val="none"/>
        <c:tickLblPos val="nextTo"/>
        <c:crossAx val="120301056"/>
        <c:crosses val="autoZero"/>
        <c:auto val="1"/>
        <c:lblAlgn val="ctr"/>
        <c:lblOffset val="100"/>
        <c:noMultiLvlLbl val="0"/>
      </c:catAx>
      <c:valAx>
        <c:axId val="120301056"/>
        <c:scaling>
          <c:orientation val="minMax"/>
        </c:scaling>
        <c:delete val="0"/>
        <c:axPos val="t"/>
        <c:majorGridlines>
          <c:spPr>
            <a:ln>
              <a:noFill/>
            </a:ln>
          </c:spPr>
        </c:majorGridlines>
        <c:numFmt formatCode="0%" sourceLinked="0"/>
        <c:majorTickMark val="out"/>
        <c:minorTickMark val="none"/>
        <c:tickLblPos val="nextTo"/>
        <c:crossAx val="120299520"/>
        <c:crosses val="autoZero"/>
        <c:crossBetween val="between"/>
      </c:valAx>
    </c:plotArea>
    <c:legend>
      <c:legendPos val="b"/>
      <c:layout>
        <c:manualLayout>
          <c:xMode val="edge"/>
          <c:yMode val="edge"/>
          <c:x val="0.30086639237480622"/>
          <c:y val="0.96006150350609154"/>
          <c:w val="0.4509854927879044"/>
          <c:h val="2.9988247737689506E-2"/>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Procent</a:t>
            </a:r>
            <a:r>
              <a:rPr lang="pl-PL" baseline="0"/>
              <a:t>owe wykorzystanie środków na Plan komunikacyjny w stosunku do wszystkich działań KSOW</a:t>
            </a:r>
            <a:endParaRPr lang="pl-PL"/>
          </a:p>
        </c:rich>
      </c:tx>
      <c:layout/>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PK!$B$4:$B$20</c:f>
              <c:strCache>
                <c:ptCount val="17"/>
                <c:pt idx="0">
                  <c:v>SW dolnośląskiego</c:v>
                </c:pt>
                <c:pt idx="1">
                  <c:v>SW kujawsko-pomorskiego</c:v>
                </c:pt>
                <c:pt idx="2">
                  <c:v>SW lubelskiego</c:v>
                </c:pt>
                <c:pt idx="3">
                  <c:v>SW lubuskiego</c:v>
                </c:pt>
                <c:pt idx="4">
                  <c:v>SW łódzkiego</c:v>
                </c:pt>
                <c:pt idx="5">
                  <c:v>SW małopolskiego</c:v>
                </c:pt>
                <c:pt idx="6">
                  <c:v>SW mazowieckiego</c:v>
                </c:pt>
                <c:pt idx="7">
                  <c:v>SW opolskiego</c:v>
                </c:pt>
                <c:pt idx="8">
                  <c:v>SW podkarpackiego</c:v>
                </c:pt>
                <c:pt idx="9">
                  <c:v>SW podlaskiego</c:v>
                </c:pt>
                <c:pt idx="10">
                  <c:v>SW pomorskiego</c:v>
                </c:pt>
                <c:pt idx="11">
                  <c:v>SW śląskiego</c:v>
                </c:pt>
                <c:pt idx="12">
                  <c:v>SW świętokrzyskiego</c:v>
                </c:pt>
                <c:pt idx="13">
                  <c:v>SW warmińsko-mazurskiego</c:v>
                </c:pt>
                <c:pt idx="14">
                  <c:v>SW wielkopolskiego</c:v>
                </c:pt>
                <c:pt idx="15">
                  <c:v>SW zachodniopomorskiego</c:v>
                </c:pt>
                <c:pt idx="16">
                  <c:v>Instytucja Zarządzajaca</c:v>
                </c:pt>
              </c:strCache>
            </c:strRef>
          </c:cat>
          <c:val>
            <c:numRef>
              <c:f>PK!$C$4:$C$20</c:f>
              <c:numCache>
                <c:formatCode>0.00%</c:formatCode>
                <c:ptCount val="17"/>
                <c:pt idx="0">
                  <c:v>0.14237231885295396</c:v>
                </c:pt>
                <c:pt idx="1">
                  <c:v>0.1176378562839818</c:v>
                </c:pt>
                <c:pt idx="2">
                  <c:v>5.178989450890624E-2</c:v>
                </c:pt>
                <c:pt idx="3">
                  <c:v>0.14508618503882789</c:v>
                </c:pt>
                <c:pt idx="4">
                  <c:v>0.20584340315341254</c:v>
                </c:pt>
                <c:pt idx="5">
                  <c:v>0.10778091259001878</c:v>
                </c:pt>
                <c:pt idx="6">
                  <c:v>0.31839787557313448</c:v>
                </c:pt>
                <c:pt idx="7">
                  <c:v>9.0891098764491612E-2</c:v>
                </c:pt>
                <c:pt idx="8">
                  <c:v>8.9989536408290771E-2</c:v>
                </c:pt>
                <c:pt idx="9">
                  <c:v>0.34110446928060029</c:v>
                </c:pt>
                <c:pt idx="10">
                  <c:v>0.12433932412824648</c:v>
                </c:pt>
                <c:pt idx="11">
                  <c:v>9.4392117985698784E-2</c:v>
                </c:pt>
                <c:pt idx="12">
                  <c:v>9.5488272032295429E-2</c:v>
                </c:pt>
                <c:pt idx="13">
                  <c:v>0.11943823426076106</c:v>
                </c:pt>
                <c:pt idx="14">
                  <c:v>9.7699676720461412E-2</c:v>
                </c:pt>
                <c:pt idx="15">
                  <c:v>0.14031807922800746</c:v>
                </c:pt>
                <c:pt idx="16">
                  <c:v>0.3447284267545746</c:v>
                </c:pt>
              </c:numCache>
            </c:numRef>
          </c:val>
        </c:ser>
        <c:dLbls>
          <c:showLegendKey val="0"/>
          <c:showVal val="0"/>
          <c:showCatName val="0"/>
          <c:showSerName val="0"/>
          <c:showPercent val="0"/>
          <c:showBubbleSize val="0"/>
        </c:dLbls>
        <c:gapWidth val="150"/>
        <c:axId val="120194944"/>
        <c:axId val="120196480"/>
      </c:barChart>
      <c:catAx>
        <c:axId val="120194944"/>
        <c:scaling>
          <c:orientation val="maxMin"/>
        </c:scaling>
        <c:delete val="0"/>
        <c:axPos val="l"/>
        <c:majorTickMark val="out"/>
        <c:minorTickMark val="none"/>
        <c:tickLblPos val="nextTo"/>
        <c:crossAx val="120196480"/>
        <c:crosses val="autoZero"/>
        <c:auto val="1"/>
        <c:lblAlgn val="ctr"/>
        <c:lblOffset val="100"/>
        <c:noMultiLvlLbl val="0"/>
      </c:catAx>
      <c:valAx>
        <c:axId val="120196480"/>
        <c:scaling>
          <c:orientation val="minMax"/>
        </c:scaling>
        <c:delete val="0"/>
        <c:axPos val="t"/>
        <c:majorGridlines>
          <c:spPr>
            <a:ln>
              <a:noFill/>
            </a:ln>
          </c:spPr>
        </c:majorGridlines>
        <c:numFmt formatCode="0%" sourceLinked="0"/>
        <c:majorTickMark val="out"/>
        <c:minorTickMark val="none"/>
        <c:tickLblPos val="nextTo"/>
        <c:crossAx val="120194944"/>
        <c:crosses val="autoZero"/>
        <c:crossBetween val="between"/>
      </c:valAx>
    </c:plotArea>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Procentowy udział kosztów operacji realizowanych przez</a:t>
            </a:r>
            <a:r>
              <a:rPr lang="pl-PL" baseline="0"/>
              <a:t> Partnerów KSOW</a:t>
            </a:r>
            <a:endParaRPr lang="pl-PL"/>
          </a:p>
        </c:rich>
      </c:tx>
      <c:layout/>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OP!$B$2:$B$18</c:f>
              <c:strCache>
                <c:ptCount val="17"/>
                <c:pt idx="0">
                  <c:v>SW dolnośląskiego</c:v>
                </c:pt>
                <c:pt idx="1">
                  <c:v>SW kujawsko-pomorskiego</c:v>
                </c:pt>
                <c:pt idx="2">
                  <c:v>SW lubelskiego</c:v>
                </c:pt>
                <c:pt idx="3">
                  <c:v>SW lubuskiego</c:v>
                </c:pt>
                <c:pt idx="4">
                  <c:v>SW łódzkiego</c:v>
                </c:pt>
                <c:pt idx="5">
                  <c:v>SW małopolskiego</c:v>
                </c:pt>
                <c:pt idx="6">
                  <c:v>SW mazowieckiego</c:v>
                </c:pt>
                <c:pt idx="7">
                  <c:v>SW opolskiego</c:v>
                </c:pt>
                <c:pt idx="8">
                  <c:v>SW podkarpackiego</c:v>
                </c:pt>
                <c:pt idx="9">
                  <c:v>SW podlaskiego</c:v>
                </c:pt>
                <c:pt idx="10">
                  <c:v>SW pomorskiego</c:v>
                </c:pt>
                <c:pt idx="11">
                  <c:v>SW śląskiego</c:v>
                </c:pt>
                <c:pt idx="12">
                  <c:v>SW świętokrzyskiego</c:v>
                </c:pt>
                <c:pt idx="13">
                  <c:v>SW warmińsko-mazurskiego</c:v>
                </c:pt>
                <c:pt idx="14">
                  <c:v>SW wielkopolskiego</c:v>
                </c:pt>
                <c:pt idx="15">
                  <c:v>SW zachodniopomorskiego</c:v>
                </c:pt>
                <c:pt idx="16">
                  <c:v>JC i IZ</c:v>
                </c:pt>
              </c:strCache>
            </c:strRef>
          </c:cat>
          <c:val>
            <c:numRef>
              <c:f>OP!$G$2:$G$18</c:f>
              <c:numCache>
                <c:formatCode>0.00%</c:formatCode>
                <c:ptCount val="17"/>
                <c:pt idx="0">
                  <c:v>0.4086306214276979</c:v>
                </c:pt>
                <c:pt idx="1">
                  <c:v>0.49384222833529456</c:v>
                </c:pt>
                <c:pt idx="2">
                  <c:v>0.59807702764476145</c:v>
                </c:pt>
                <c:pt idx="3">
                  <c:v>0.44376833642903457</c:v>
                </c:pt>
                <c:pt idx="4">
                  <c:v>0.82767355360315242</c:v>
                </c:pt>
                <c:pt idx="5">
                  <c:v>0.29717359582544572</c:v>
                </c:pt>
                <c:pt idx="6">
                  <c:v>0.51775252446059272</c:v>
                </c:pt>
                <c:pt idx="7">
                  <c:v>0.63067419755353593</c:v>
                </c:pt>
                <c:pt idx="8">
                  <c:v>0.67723544192459006</c:v>
                </c:pt>
                <c:pt idx="9">
                  <c:v>0.67492857140233642</c:v>
                </c:pt>
                <c:pt idx="10">
                  <c:v>0.59419457744779236</c:v>
                </c:pt>
                <c:pt idx="11">
                  <c:v>0.67172831704012403</c:v>
                </c:pt>
                <c:pt idx="12">
                  <c:v>0.45585265680545789</c:v>
                </c:pt>
                <c:pt idx="13">
                  <c:v>0.47136136792659272</c:v>
                </c:pt>
                <c:pt idx="14">
                  <c:v>0.5220743430858763</c:v>
                </c:pt>
                <c:pt idx="15">
                  <c:v>0.55375487694024672</c:v>
                </c:pt>
                <c:pt idx="16">
                  <c:v>0.25063586455172038</c:v>
                </c:pt>
              </c:numCache>
            </c:numRef>
          </c:val>
        </c:ser>
        <c:dLbls>
          <c:showLegendKey val="0"/>
          <c:showVal val="0"/>
          <c:showCatName val="0"/>
          <c:showSerName val="0"/>
          <c:showPercent val="0"/>
          <c:showBubbleSize val="0"/>
        </c:dLbls>
        <c:gapWidth val="150"/>
        <c:axId val="120640256"/>
        <c:axId val="120641792"/>
      </c:barChart>
      <c:catAx>
        <c:axId val="120640256"/>
        <c:scaling>
          <c:orientation val="maxMin"/>
        </c:scaling>
        <c:delete val="0"/>
        <c:axPos val="l"/>
        <c:majorTickMark val="out"/>
        <c:minorTickMark val="none"/>
        <c:tickLblPos val="nextTo"/>
        <c:crossAx val="120641792"/>
        <c:crosses val="autoZero"/>
        <c:auto val="1"/>
        <c:lblAlgn val="ctr"/>
        <c:lblOffset val="100"/>
        <c:noMultiLvlLbl val="0"/>
      </c:catAx>
      <c:valAx>
        <c:axId val="120641792"/>
        <c:scaling>
          <c:orientation val="minMax"/>
        </c:scaling>
        <c:delete val="0"/>
        <c:axPos val="t"/>
        <c:majorGridlines>
          <c:spPr>
            <a:ln>
              <a:noFill/>
            </a:ln>
          </c:spPr>
        </c:majorGridlines>
        <c:numFmt formatCode="0%" sourceLinked="0"/>
        <c:majorTickMark val="out"/>
        <c:minorTickMark val="none"/>
        <c:tickLblPos val="nextTo"/>
        <c:crossAx val="120640256"/>
        <c:crosses val="autoZero"/>
        <c:crossBetween val="between"/>
      </c:valAx>
    </c:plotArea>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nchor="t" anchorCtr="0"/>
          <a:lstStyle/>
          <a:p>
            <a:pPr>
              <a:defRPr/>
            </a:pPr>
            <a:r>
              <a:rPr lang="pl-PL"/>
              <a:t>Wykorzystanie środków </a:t>
            </a:r>
            <a:r>
              <a:rPr lang="pl-PL" baseline="0"/>
              <a:t>w podziale na działania KSOW w tys. PLN</a:t>
            </a:r>
          </a:p>
        </c:rich>
      </c:tx>
      <c:layout/>
      <c:overlay val="0"/>
    </c:title>
    <c:autoTitleDeleted val="0"/>
    <c:plotArea>
      <c:layout>
        <c:manualLayout>
          <c:layoutTarget val="inner"/>
          <c:xMode val="edge"/>
          <c:yMode val="edge"/>
          <c:x val="0.19486395450568678"/>
          <c:y val="0.24779825327041749"/>
          <c:w val="0.75012226596675413"/>
          <c:h val="0.69664628200435974"/>
        </c:manualLayout>
      </c:layout>
      <c:barChart>
        <c:barDir val="bar"/>
        <c:grouping val="clustered"/>
        <c:varyColors val="0"/>
        <c:ser>
          <c:idx val="0"/>
          <c:order val="0"/>
          <c:invertIfNegative val="0"/>
          <c:dLbls>
            <c:numFmt formatCode="#,##0.00" sourceLinked="0"/>
            <c:showLegendKey val="0"/>
            <c:showVal val="1"/>
            <c:showCatName val="0"/>
            <c:showSerName val="0"/>
            <c:showPercent val="0"/>
            <c:showBubbleSize val="0"/>
            <c:showLeaderLines val="0"/>
          </c:dLbls>
          <c:cat>
            <c:strRef>
              <c:f>Arkusz3!$A$3:$A$15</c:f>
              <c:strCache>
                <c:ptCount val="13"/>
                <c:pt idx="0">
                  <c:v>Działanie 1</c:v>
                </c:pt>
                <c:pt idx="1">
                  <c:v>Działanie 2</c:v>
                </c:pt>
                <c:pt idx="2">
                  <c:v>Działanie 3</c:v>
                </c:pt>
                <c:pt idx="3">
                  <c:v>Działanie 4</c:v>
                </c:pt>
                <c:pt idx="4">
                  <c:v>Działanie 5</c:v>
                </c:pt>
                <c:pt idx="5">
                  <c:v>Działanie 6</c:v>
                </c:pt>
                <c:pt idx="6">
                  <c:v>Działanie 7</c:v>
                </c:pt>
                <c:pt idx="7">
                  <c:v>Działanie 8</c:v>
                </c:pt>
                <c:pt idx="8">
                  <c:v>Działanie 9</c:v>
                </c:pt>
                <c:pt idx="9">
                  <c:v>Działanie 10</c:v>
                </c:pt>
                <c:pt idx="10">
                  <c:v>Działanie 11</c:v>
                </c:pt>
                <c:pt idx="11">
                  <c:v>Działanie 12</c:v>
                </c:pt>
                <c:pt idx="12">
                  <c:v>Działanie 13</c:v>
                </c:pt>
              </c:strCache>
            </c:strRef>
          </c:cat>
          <c:val>
            <c:numRef>
              <c:f>Arkusz3!$H$3:$H$15</c:f>
              <c:numCache>
                <c:formatCode>General</c:formatCode>
                <c:ptCount val="13"/>
                <c:pt idx="0">
                  <c:v>0</c:v>
                </c:pt>
                <c:pt idx="1">
                  <c:v>2838.7938899999995</c:v>
                </c:pt>
                <c:pt idx="2">
                  <c:v>53.829680000000003</c:v>
                </c:pt>
                <c:pt idx="3" formatCode="#,##0.00">
                  <c:v>473.35275999999993</c:v>
                </c:pt>
                <c:pt idx="4">
                  <c:v>1443.8979899999999</c:v>
                </c:pt>
                <c:pt idx="5">
                  <c:v>1132.7076399999999</c:v>
                </c:pt>
                <c:pt idx="6">
                  <c:v>8.4308999999999994</c:v>
                </c:pt>
                <c:pt idx="7">
                  <c:v>6366.0496400000002</c:v>
                </c:pt>
                <c:pt idx="8">
                  <c:v>201.42674</c:v>
                </c:pt>
                <c:pt idx="9">
                  <c:v>6714.9815699999999</c:v>
                </c:pt>
                <c:pt idx="10">
                  <c:v>1546.44299</c:v>
                </c:pt>
                <c:pt idx="11">
                  <c:v>1139.25225</c:v>
                </c:pt>
                <c:pt idx="12">
                  <c:v>10463.40821</c:v>
                </c:pt>
              </c:numCache>
            </c:numRef>
          </c:val>
        </c:ser>
        <c:dLbls>
          <c:showLegendKey val="0"/>
          <c:showVal val="0"/>
          <c:showCatName val="0"/>
          <c:showSerName val="0"/>
          <c:showPercent val="0"/>
          <c:showBubbleSize val="0"/>
        </c:dLbls>
        <c:gapWidth val="150"/>
        <c:axId val="35941760"/>
        <c:axId val="117282304"/>
      </c:barChart>
      <c:catAx>
        <c:axId val="35941760"/>
        <c:scaling>
          <c:orientation val="maxMin"/>
        </c:scaling>
        <c:delete val="0"/>
        <c:axPos val="l"/>
        <c:majorTickMark val="out"/>
        <c:minorTickMark val="none"/>
        <c:tickLblPos val="nextTo"/>
        <c:crossAx val="117282304"/>
        <c:crosses val="autoZero"/>
        <c:auto val="1"/>
        <c:lblAlgn val="ctr"/>
        <c:lblOffset val="100"/>
        <c:noMultiLvlLbl val="0"/>
      </c:catAx>
      <c:valAx>
        <c:axId val="117282304"/>
        <c:scaling>
          <c:orientation val="minMax"/>
        </c:scaling>
        <c:delete val="0"/>
        <c:axPos val="t"/>
        <c:majorGridlines/>
        <c:numFmt formatCode="#,##0" sourceLinked="0"/>
        <c:majorTickMark val="out"/>
        <c:minorTickMark val="none"/>
        <c:tickLblPos val="nextTo"/>
        <c:crossAx val="35941760"/>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Koszty operacji poniesionych na działanie</a:t>
            </a:r>
            <a:r>
              <a:rPr lang="pl-PL" baseline="0"/>
              <a:t> 5 w stosunku do całości SIR</a:t>
            </a:r>
            <a:endParaRPr lang="pl-PL"/>
          </a:p>
        </c:rich>
      </c:tx>
      <c:layout/>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Arkusz6!$B$2:$B$18</c:f>
              <c:strCache>
                <c:ptCount val="17"/>
                <c:pt idx="0">
                  <c:v>Centrum Doradztwa Rolniczego</c:v>
                </c:pt>
                <c:pt idx="1">
                  <c:v>ODR woj. dolnośląskie</c:v>
                </c:pt>
                <c:pt idx="2">
                  <c:v>ODR woj. kujawsko-pomorskie</c:v>
                </c:pt>
                <c:pt idx="3">
                  <c:v>ODR woj. lubelskie</c:v>
                </c:pt>
                <c:pt idx="4">
                  <c:v>ODR woj. lubuskie</c:v>
                </c:pt>
                <c:pt idx="5">
                  <c:v>ODR woj. łódzkie</c:v>
                </c:pt>
                <c:pt idx="6">
                  <c:v>ODR woj. małopolskie</c:v>
                </c:pt>
                <c:pt idx="7">
                  <c:v>ODR woj. mazowieckie</c:v>
                </c:pt>
                <c:pt idx="8">
                  <c:v>ODR woj. opolskie</c:v>
                </c:pt>
                <c:pt idx="9">
                  <c:v>ODR woj. podkarpackie</c:v>
                </c:pt>
                <c:pt idx="10">
                  <c:v>ODR woj. podlaskie</c:v>
                </c:pt>
                <c:pt idx="11">
                  <c:v>ODR woj. pomorskie</c:v>
                </c:pt>
                <c:pt idx="12">
                  <c:v>ODR woj. ślaskie</c:v>
                </c:pt>
                <c:pt idx="13">
                  <c:v>ODR woj. świętokrzyskie</c:v>
                </c:pt>
                <c:pt idx="14">
                  <c:v>ODR woj. warmińsko-mazurskie</c:v>
                </c:pt>
                <c:pt idx="15">
                  <c:v>ODR woj. wielkopolskie</c:v>
                </c:pt>
                <c:pt idx="16">
                  <c:v>ODR woj. zachodniopomorskie</c:v>
                </c:pt>
              </c:strCache>
            </c:strRef>
          </c:cat>
          <c:val>
            <c:numRef>
              <c:f>Arkusz6!$J$2:$J$18</c:f>
              <c:numCache>
                <c:formatCode>0.00%</c:formatCode>
                <c:ptCount val="17"/>
                <c:pt idx="0">
                  <c:v>0.47501035385879481</c:v>
                </c:pt>
                <c:pt idx="1">
                  <c:v>8.8003564940378587E-2</c:v>
                </c:pt>
                <c:pt idx="2">
                  <c:v>0.51530024331533353</c:v>
                </c:pt>
                <c:pt idx="3">
                  <c:v>0.43508597955174816</c:v>
                </c:pt>
                <c:pt idx="4">
                  <c:v>0.16208250823626957</c:v>
                </c:pt>
                <c:pt idx="5">
                  <c:v>0.28565058868034876</c:v>
                </c:pt>
                <c:pt idx="6">
                  <c:v>0.43185208988732487</c:v>
                </c:pt>
                <c:pt idx="7">
                  <c:v>0.27665275707687814</c:v>
                </c:pt>
                <c:pt idx="8">
                  <c:v>0.349372720739626</c:v>
                </c:pt>
                <c:pt idx="9">
                  <c:v>0.44459850041687438</c:v>
                </c:pt>
                <c:pt idx="10">
                  <c:v>0.23864723031504459</c:v>
                </c:pt>
                <c:pt idx="11">
                  <c:v>0.84518118087776339</c:v>
                </c:pt>
                <c:pt idx="12">
                  <c:v>0.3105046385182289</c:v>
                </c:pt>
                <c:pt idx="13">
                  <c:v>0.12025765322806345</c:v>
                </c:pt>
                <c:pt idx="14">
                  <c:v>0.16000532043485144</c:v>
                </c:pt>
                <c:pt idx="15">
                  <c:v>7.9626857115321026E-2</c:v>
                </c:pt>
                <c:pt idx="16">
                  <c:v>6.7408706489198347E-2</c:v>
                </c:pt>
              </c:numCache>
            </c:numRef>
          </c:val>
        </c:ser>
        <c:dLbls>
          <c:showLegendKey val="0"/>
          <c:showVal val="0"/>
          <c:showCatName val="0"/>
          <c:showSerName val="0"/>
          <c:showPercent val="0"/>
          <c:showBubbleSize val="0"/>
        </c:dLbls>
        <c:gapWidth val="150"/>
        <c:axId val="117623424"/>
        <c:axId val="117631232"/>
      </c:barChart>
      <c:catAx>
        <c:axId val="117623424"/>
        <c:scaling>
          <c:orientation val="maxMin"/>
        </c:scaling>
        <c:delete val="0"/>
        <c:axPos val="l"/>
        <c:majorTickMark val="out"/>
        <c:minorTickMark val="none"/>
        <c:tickLblPos val="nextTo"/>
        <c:crossAx val="117631232"/>
        <c:crosses val="autoZero"/>
        <c:auto val="1"/>
        <c:lblAlgn val="ctr"/>
        <c:lblOffset val="100"/>
        <c:noMultiLvlLbl val="0"/>
      </c:catAx>
      <c:valAx>
        <c:axId val="117631232"/>
        <c:scaling>
          <c:orientation val="minMax"/>
        </c:scaling>
        <c:delete val="0"/>
        <c:axPos val="t"/>
        <c:majorGridlines/>
        <c:numFmt formatCode="0%" sourceLinked="0"/>
        <c:majorTickMark val="out"/>
        <c:minorTickMark val="none"/>
        <c:tickLblPos val="nextTo"/>
        <c:crossAx val="117623424"/>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0.44975</cdr:x>
      <cdr:y>0.24453</cdr:y>
    </cdr:from>
    <cdr:to>
      <cdr:x>0.44975</cdr:x>
      <cdr:y>0.99006</cdr:y>
    </cdr:to>
    <cdr:cxnSp macro="">
      <cdr:nvCxnSpPr>
        <cdr:cNvPr id="3" name="Łącznik prostoliniowy 2"/>
        <cdr:cNvCxnSpPr/>
      </cdr:nvCxnSpPr>
      <cdr:spPr>
        <a:xfrm xmlns:a="http://schemas.openxmlformats.org/drawingml/2006/main">
          <a:off x="2600326" y="1171575"/>
          <a:ext cx="0" cy="3571875"/>
        </a:xfrm>
        <a:prstGeom xmlns:a="http://schemas.openxmlformats.org/drawingml/2006/main" prst="line">
          <a:avLst/>
        </a:prstGeom>
        <a:ln xmlns:a="http://schemas.openxmlformats.org/drawingml/2006/main" w="19050">
          <a:prstDash val="dash"/>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0.73476</cdr:x>
      <cdr:y>0.20874</cdr:y>
    </cdr:from>
    <cdr:to>
      <cdr:x>0.73476</cdr:x>
      <cdr:y>0.95427</cdr:y>
    </cdr:to>
    <cdr:cxnSp macro="">
      <cdr:nvCxnSpPr>
        <cdr:cNvPr id="3" name="Łącznik prostoliniowy 2"/>
        <cdr:cNvCxnSpPr/>
      </cdr:nvCxnSpPr>
      <cdr:spPr>
        <a:xfrm xmlns:a="http://schemas.openxmlformats.org/drawingml/2006/main">
          <a:off x="4248134" y="1000110"/>
          <a:ext cx="0" cy="3571890"/>
        </a:xfrm>
        <a:prstGeom xmlns:a="http://schemas.openxmlformats.org/drawingml/2006/main" prst="line">
          <a:avLst/>
        </a:prstGeom>
        <a:ln xmlns:a="http://schemas.openxmlformats.org/drawingml/2006/main" w="19050">
          <a:prstDash val="dash"/>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0.66463</cdr:x>
      <cdr:y>0.17391</cdr:y>
    </cdr:from>
    <cdr:to>
      <cdr:x>0.66667</cdr:x>
      <cdr:y>0.95887</cdr:y>
    </cdr:to>
    <cdr:cxnSp macro="">
      <cdr:nvCxnSpPr>
        <cdr:cNvPr id="3" name="Łącznik prostoliniowy 2"/>
        <cdr:cNvCxnSpPr/>
      </cdr:nvCxnSpPr>
      <cdr:spPr>
        <a:xfrm xmlns:a="http://schemas.openxmlformats.org/drawingml/2006/main" flipH="1">
          <a:off x="3038670" y="704850"/>
          <a:ext cx="9331" cy="3181350"/>
        </a:xfrm>
        <a:prstGeom xmlns:a="http://schemas.openxmlformats.org/drawingml/2006/main" prst="line">
          <a:avLst/>
        </a:prstGeom>
        <a:ln xmlns:a="http://schemas.openxmlformats.org/drawingml/2006/main">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A231F-FBDF-4AA9-8118-28A6EB0F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TotalTime>
  <Pages>18</Pages>
  <Words>3706</Words>
  <Characters>25035</Characters>
  <Application>Microsoft Office Word</Application>
  <DocSecurity>0</DocSecurity>
  <Lines>208</Lines>
  <Paragraphs>57</Paragraphs>
  <ScaleCrop>false</ScaleCrop>
  <HeadingPairs>
    <vt:vector size="2" baseType="variant">
      <vt:variant>
        <vt:lpstr>Tytuł</vt:lpstr>
      </vt:variant>
      <vt:variant>
        <vt:i4>1</vt:i4>
      </vt:variant>
    </vt:vector>
  </HeadingPairs>
  <TitlesOfParts>
    <vt:vector size="1" baseType="lpstr">
      <vt:lpstr/>
    </vt:vector>
  </TitlesOfParts>
  <Company>Fundacja Programów Pomocy dla Rolnictwa FAPA</Company>
  <LinksUpToDate>false</LinksUpToDate>
  <CharactersWithSpaces>28684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Kalinowska</dc:creator>
  <cp:lastModifiedBy>Krzysztof Kwiatkowski</cp:lastModifiedBy>
  <cp:revision>15</cp:revision>
  <cp:lastPrinted>2016-06-01T09:10:00Z</cp:lastPrinted>
  <dcterms:created xsi:type="dcterms:W3CDTF">2017-03-14T14:22:00Z</dcterms:created>
  <dcterms:modified xsi:type="dcterms:W3CDTF">2017-05-18T09:48:00Z</dcterms:modified>
</cp:coreProperties>
</file>